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0083" w14:textId="51D773A2" w:rsidR="005504B5" w:rsidRPr="00AB1D28" w:rsidRDefault="005504B5" w:rsidP="00FD0491">
      <w:pPr>
        <w:pStyle w:val="Heading1"/>
        <w:ind w:hanging="540"/>
      </w:pPr>
      <w:r w:rsidRPr="00AB1D28">
        <w:rPr>
          <w:b/>
          <w:bCs/>
          <w:color w:val="auto"/>
        </w:rPr>
        <w:t xml:space="preserve">Winter Granting | December 2023 </w:t>
      </w:r>
    </w:p>
    <w:p w14:paraId="33976A5C" w14:textId="517BEFC8" w:rsidR="005504B5" w:rsidRPr="005504B5" w:rsidRDefault="00FD0491" w:rsidP="005504B5">
      <w:pPr>
        <w:rPr>
          <w:lang w:val="en-US"/>
        </w:rPr>
      </w:pPr>
      <w:r w:rsidRPr="005504B5">
        <w:rPr>
          <w:rFonts w:ascii="Calibri" w:hAnsi="Calibri" w:cs="Calibri"/>
          <w:noProof/>
          <w:sz w:val="28"/>
          <w:szCs w:val="28"/>
        </w:rPr>
        <w:drawing>
          <wp:anchor distT="0" distB="0" distL="114300" distR="114300" simplePos="0" relativeHeight="251658240" behindDoc="0" locked="0" layoutInCell="1" allowOverlap="1" wp14:anchorId="4216E3E9" wp14:editId="31E82A52">
            <wp:simplePos x="0" y="0"/>
            <wp:positionH relativeFrom="column">
              <wp:posOffset>-333375</wp:posOffset>
            </wp:positionH>
            <wp:positionV relativeFrom="paragraph">
              <wp:posOffset>89535</wp:posOffset>
            </wp:positionV>
            <wp:extent cx="899795" cy="914400"/>
            <wp:effectExtent l="0" t="0" r="0" b="0"/>
            <wp:wrapSquare wrapText="bothSides"/>
            <wp:docPr id="1" name="Picture 1" descr="A colorful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logo with a person in the midd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9795" cy="914400"/>
                    </a:xfrm>
                    <a:prstGeom prst="rect">
                      <a:avLst/>
                    </a:prstGeom>
                  </pic:spPr>
                </pic:pic>
              </a:graphicData>
            </a:graphic>
            <wp14:sizeRelH relativeFrom="margin">
              <wp14:pctWidth>0</wp14:pctWidth>
            </wp14:sizeRelH>
            <wp14:sizeRelV relativeFrom="margin">
              <wp14:pctHeight>0</wp14:pctHeight>
            </wp14:sizeRelV>
          </wp:anchor>
        </w:drawing>
      </w:r>
    </w:p>
    <w:p w14:paraId="43FEB11C" w14:textId="606FC03C" w:rsidR="005504B5" w:rsidRDefault="005504B5" w:rsidP="005504B5">
      <w:pPr>
        <w:pStyle w:val="Heading1"/>
        <w:ind w:hanging="540"/>
        <w:rPr>
          <w:rStyle w:val="normaltextrun"/>
        </w:rPr>
      </w:pPr>
    </w:p>
    <w:p w14:paraId="724ADE28" w14:textId="77777777" w:rsidR="005504B5" w:rsidRDefault="005504B5" w:rsidP="005504B5">
      <w:pPr>
        <w:pStyle w:val="Heading1"/>
        <w:ind w:hanging="540"/>
        <w:rPr>
          <w:rStyle w:val="normaltextrun"/>
        </w:rPr>
      </w:pPr>
    </w:p>
    <w:p w14:paraId="0205FD7C" w14:textId="1CDD5677" w:rsidR="005504B5" w:rsidRDefault="005504B5" w:rsidP="005504B5">
      <w:pPr>
        <w:pStyle w:val="Heading1"/>
        <w:ind w:hanging="540"/>
        <w:rPr>
          <w:rStyle w:val="normaltextrun"/>
        </w:rPr>
      </w:pPr>
      <w:r>
        <w:rPr>
          <w:rStyle w:val="normaltextrun"/>
        </w:rPr>
        <w:t>E</w:t>
      </w:r>
      <w:r w:rsidRPr="00CA43EE">
        <w:rPr>
          <w:rStyle w:val="normaltextrun"/>
        </w:rPr>
        <w:t>nvision Financial Community Endowment</w:t>
      </w:r>
    </w:p>
    <w:tbl>
      <w:tblPr>
        <w:tblStyle w:val="TableGrid"/>
        <w:tblW w:w="10463" w:type="dxa"/>
        <w:tblInd w:w="-545" w:type="dxa"/>
        <w:tblLayout w:type="fixed"/>
        <w:tblLook w:val="04A0" w:firstRow="1" w:lastRow="0" w:firstColumn="1" w:lastColumn="0" w:noHBand="0" w:noVBand="1"/>
      </w:tblPr>
      <w:tblGrid>
        <w:gridCol w:w="2808"/>
        <w:gridCol w:w="6379"/>
        <w:gridCol w:w="1276"/>
      </w:tblGrid>
      <w:tr w:rsidR="005504B5" w14:paraId="323FB400" w14:textId="77777777" w:rsidTr="005504B5">
        <w:trPr>
          <w:trHeight w:val="431"/>
        </w:trPr>
        <w:tc>
          <w:tcPr>
            <w:tcW w:w="2808" w:type="dxa"/>
            <w:shd w:val="clear" w:color="auto" w:fill="DEEAF6" w:themeFill="accent5" w:themeFillTint="33"/>
            <w:vAlign w:val="center"/>
          </w:tcPr>
          <w:p w14:paraId="3ADA3FC0" w14:textId="77777777" w:rsidR="005504B5" w:rsidRDefault="005504B5" w:rsidP="00EE730E">
            <w:pPr>
              <w:rPr>
                <w:b/>
                <w:bCs/>
                <w:lang w:val="en-US"/>
              </w:rPr>
            </w:pPr>
            <w:r>
              <w:rPr>
                <w:b/>
                <w:bCs/>
                <w:lang w:val="en-US"/>
              </w:rPr>
              <w:t>Organization</w:t>
            </w:r>
          </w:p>
        </w:tc>
        <w:tc>
          <w:tcPr>
            <w:tcW w:w="6379" w:type="dxa"/>
            <w:shd w:val="clear" w:color="auto" w:fill="DEEAF6" w:themeFill="accent5" w:themeFillTint="33"/>
            <w:vAlign w:val="center"/>
          </w:tcPr>
          <w:p w14:paraId="61CC7ECC" w14:textId="77777777" w:rsidR="005504B5" w:rsidRDefault="005504B5" w:rsidP="00EE730E">
            <w:pPr>
              <w:rPr>
                <w:b/>
                <w:bCs/>
                <w:lang w:val="en-US"/>
              </w:rPr>
            </w:pPr>
            <w:r w:rsidRPr="00712565">
              <w:rPr>
                <w:b/>
                <w:bCs/>
                <w:lang w:val="en-US"/>
              </w:rPr>
              <w:t>Organization Focus</w:t>
            </w:r>
          </w:p>
        </w:tc>
        <w:tc>
          <w:tcPr>
            <w:tcW w:w="1276" w:type="dxa"/>
            <w:shd w:val="clear" w:color="auto" w:fill="DEEAF6" w:themeFill="accent5" w:themeFillTint="33"/>
          </w:tcPr>
          <w:p w14:paraId="7D293E15" w14:textId="77777777" w:rsidR="005504B5" w:rsidRPr="00712565" w:rsidRDefault="005504B5" w:rsidP="00EE730E">
            <w:pPr>
              <w:jc w:val="center"/>
              <w:rPr>
                <w:b/>
                <w:bCs/>
                <w:lang w:val="en-US"/>
              </w:rPr>
            </w:pPr>
            <w:r>
              <w:rPr>
                <w:b/>
                <w:bCs/>
                <w:lang w:val="en-US"/>
              </w:rPr>
              <w:t>Grant Amount</w:t>
            </w:r>
          </w:p>
        </w:tc>
      </w:tr>
      <w:tr w:rsidR="005504B5" w:rsidRPr="009E353E" w14:paraId="740DFDCF" w14:textId="77777777" w:rsidTr="005504B5">
        <w:trPr>
          <w:trHeight w:val="912"/>
        </w:trPr>
        <w:tc>
          <w:tcPr>
            <w:tcW w:w="2808" w:type="dxa"/>
            <w:shd w:val="clear" w:color="auto" w:fill="auto"/>
            <w:vAlign w:val="center"/>
          </w:tcPr>
          <w:p w14:paraId="50E92DF4" w14:textId="77777777" w:rsidR="005504B5" w:rsidRPr="001B703D" w:rsidRDefault="005504B5" w:rsidP="00EE730E">
            <w:pPr>
              <w:rPr>
                <w:rFonts w:cstheme="minorHAnsi"/>
                <w:lang w:val="en-US"/>
              </w:rPr>
            </w:pPr>
            <w:r w:rsidRPr="001B703D">
              <w:rPr>
                <w:rFonts w:cstheme="minorHAnsi"/>
                <w:lang w:val="en-US"/>
              </w:rPr>
              <w:t>Group ABA Childrens’ Society</w:t>
            </w:r>
          </w:p>
        </w:tc>
        <w:tc>
          <w:tcPr>
            <w:tcW w:w="6379" w:type="dxa"/>
            <w:vAlign w:val="center"/>
          </w:tcPr>
          <w:p w14:paraId="1C94CE32"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rPr>
            </w:pPr>
            <w:r w:rsidRPr="001B703D">
              <w:rPr>
                <w:rFonts w:asciiTheme="minorHAnsi" w:hAnsiTheme="minorHAnsi" w:cstheme="minorHAnsi"/>
                <w:sz w:val="22"/>
                <w:szCs w:val="22"/>
                <w:shd w:val="clear" w:color="auto" w:fill="FFFFFF"/>
              </w:rPr>
              <w:t>Provide an advancement of education for children and youth with autism spectrum disorders (ASD) and other complex developmental disabilities.</w:t>
            </w:r>
          </w:p>
        </w:tc>
        <w:tc>
          <w:tcPr>
            <w:tcW w:w="1276" w:type="dxa"/>
            <w:vAlign w:val="center"/>
          </w:tcPr>
          <w:p w14:paraId="13B724DD"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$7,500</w:t>
            </w:r>
          </w:p>
        </w:tc>
      </w:tr>
      <w:tr w:rsidR="005504B5" w:rsidRPr="009E353E" w14:paraId="16F2CF3D" w14:textId="77777777" w:rsidTr="005504B5">
        <w:trPr>
          <w:trHeight w:val="918"/>
        </w:trPr>
        <w:tc>
          <w:tcPr>
            <w:tcW w:w="2808" w:type="dxa"/>
            <w:shd w:val="clear" w:color="auto" w:fill="auto"/>
            <w:vAlign w:val="center"/>
          </w:tcPr>
          <w:p w14:paraId="57CEF1FF" w14:textId="77777777" w:rsidR="005504B5" w:rsidRPr="001B703D" w:rsidRDefault="005504B5" w:rsidP="00EE730E">
            <w:pPr>
              <w:rPr>
                <w:rFonts w:cstheme="minorHAnsi"/>
              </w:rPr>
            </w:pPr>
            <w:proofErr w:type="spellStart"/>
            <w:r w:rsidRPr="001B703D">
              <w:rPr>
                <w:rFonts w:cstheme="minorHAnsi"/>
              </w:rPr>
              <w:t>Qmunity</w:t>
            </w:r>
            <w:proofErr w:type="spellEnd"/>
          </w:p>
        </w:tc>
        <w:tc>
          <w:tcPr>
            <w:tcW w:w="6379" w:type="dxa"/>
            <w:vAlign w:val="center"/>
          </w:tcPr>
          <w:p w14:paraId="3926B0F5" w14:textId="77777777" w:rsidR="005504B5" w:rsidRPr="001B703D" w:rsidRDefault="005504B5" w:rsidP="00EE730E">
            <w:pPr>
              <w:rPr>
                <w:rFonts w:cstheme="minorHAnsi"/>
                <w:shd w:val="clear" w:color="auto" w:fill="FFFFFF"/>
              </w:rPr>
            </w:pPr>
            <w:r w:rsidRPr="001B703D">
              <w:rPr>
                <w:rFonts w:eastAsia="Times New Roman" w:cstheme="minorHAnsi"/>
                <w:shd w:val="clear" w:color="auto" w:fill="FFFFFF"/>
                <w:lang w:eastAsia="en-CA"/>
              </w:rPr>
              <w:t xml:space="preserve">QMUNITY works to improve queer, trans, and Two-Spirit lives. They provide a safer space for 2SLGBTQIA+ people and their allies to fully self-express while feeling welcome and included. </w:t>
            </w:r>
          </w:p>
        </w:tc>
        <w:tc>
          <w:tcPr>
            <w:tcW w:w="1276" w:type="dxa"/>
            <w:vAlign w:val="center"/>
          </w:tcPr>
          <w:p w14:paraId="1C5F815F"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$7,500</w:t>
            </w:r>
          </w:p>
        </w:tc>
      </w:tr>
      <w:tr w:rsidR="005504B5" w:rsidRPr="009E353E" w14:paraId="2A039131" w14:textId="77777777" w:rsidTr="005504B5">
        <w:trPr>
          <w:trHeight w:val="1111"/>
        </w:trPr>
        <w:tc>
          <w:tcPr>
            <w:tcW w:w="2808" w:type="dxa"/>
            <w:shd w:val="clear" w:color="auto" w:fill="auto"/>
            <w:vAlign w:val="center"/>
          </w:tcPr>
          <w:p w14:paraId="7C0513B3" w14:textId="77777777" w:rsidR="005504B5" w:rsidRPr="001B703D" w:rsidRDefault="005504B5" w:rsidP="00EE730E">
            <w:pPr>
              <w:rPr>
                <w:rFonts w:cstheme="minorHAnsi"/>
              </w:rPr>
            </w:pPr>
            <w:proofErr w:type="spellStart"/>
            <w:r w:rsidRPr="001B703D">
              <w:rPr>
                <w:rFonts w:cstheme="minorHAnsi"/>
              </w:rPr>
              <w:t>Coqualeetza</w:t>
            </w:r>
            <w:proofErr w:type="spellEnd"/>
            <w:r w:rsidRPr="001B703D">
              <w:rPr>
                <w:rFonts w:cstheme="minorHAnsi"/>
              </w:rPr>
              <w:t xml:space="preserve"> Cultural Education Centre Association</w:t>
            </w:r>
          </w:p>
        </w:tc>
        <w:tc>
          <w:tcPr>
            <w:tcW w:w="6379" w:type="dxa"/>
            <w:vAlign w:val="center"/>
          </w:tcPr>
          <w:p w14:paraId="69D1B13C" w14:textId="77777777" w:rsidR="005504B5" w:rsidRPr="001B703D" w:rsidRDefault="005504B5" w:rsidP="00EE730E">
            <w:pPr>
              <w:rPr>
                <w:rFonts w:eastAsia="Times New Roman" w:cstheme="minorHAnsi"/>
                <w:shd w:val="clear" w:color="auto" w:fill="FFFFFF"/>
                <w:lang w:eastAsia="en-CA"/>
              </w:rPr>
            </w:pPr>
            <w:r w:rsidRPr="001B703D">
              <w:rPr>
                <w:rFonts w:cstheme="minorHAnsi"/>
                <w:shd w:val="clear" w:color="auto" w:fill="FFFFFF"/>
              </w:rPr>
              <w:t>Provide</w:t>
            </w:r>
            <w:r>
              <w:rPr>
                <w:rFonts w:cstheme="minorHAnsi"/>
                <w:shd w:val="clear" w:color="auto" w:fill="FFFFFF"/>
              </w:rPr>
              <w:t>s</w:t>
            </w:r>
            <w:r w:rsidRPr="001B703D">
              <w:rPr>
                <w:rFonts w:cstheme="minorHAnsi"/>
                <w:shd w:val="clear" w:color="auto" w:fill="FFFFFF"/>
              </w:rPr>
              <w:t xml:space="preserve"> language and cultural support to 18 </w:t>
            </w:r>
            <w:proofErr w:type="spellStart"/>
            <w:proofErr w:type="gramStart"/>
            <w:r w:rsidRPr="001B703D">
              <w:rPr>
                <w:rFonts w:cstheme="minorHAnsi"/>
                <w:shd w:val="clear" w:color="auto" w:fill="FFFFFF"/>
              </w:rPr>
              <w:t>Sto:Lo</w:t>
            </w:r>
            <w:proofErr w:type="spellEnd"/>
            <w:proofErr w:type="gramEnd"/>
            <w:r w:rsidRPr="001B703D">
              <w:rPr>
                <w:rFonts w:cstheme="minorHAnsi"/>
                <w:shd w:val="clear" w:color="auto" w:fill="FFFFFF"/>
              </w:rPr>
              <w:t xml:space="preserve"> First Nations, provides archival, family histories and language curriculum development. Provide</w:t>
            </w:r>
            <w:r>
              <w:rPr>
                <w:rFonts w:cstheme="minorHAnsi"/>
                <w:shd w:val="clear" w:color="auto" w:fill="FFFFFF"/>
              </w:rPr>
              <w:t>s</w:t>
            </w:r>
            <w:r w:rsidRPr="001B703D">
              <w:rPr>
                <w:rFonts w:cstheme="minorHAnsi"/>
                <w:shd w:val="clear" w:color="auto" w:fill="FFFFFF"/>
              </w:rPr>
              <w:t xml:space="preserve"> part-time outreach support for preschool and kindergarten. Facilitates Elders cultural activities. </w:t>
            </w:r>
          </w:p>
        </w:tc>
        <w:tc>
          <w:tcPr>
            <w:tcW w:w="1276" w:type="dxa"/>
            <w:vAlign w:val="center"/>
          </w:tcPr>
          <w:p w14:paraId="2C894AB3"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7,500</w:t>
            </w:r>
          </w:p>
        </w:tc>
      </w:tr>
      <w:tr w:rsidR="005504B5" w:rsidRPr="009E353E" w14:paraId="43F15861" w14:textId="77777777" w:rsidTr="005504B5">
        <w:trPr>
          <w:trHeight w:val="1399"/>
        </w:trPr>
        <w:tc>
          <w:tcPr>
            <w:tcW w:w="2808" w:type="dxa"/>
            <w:shd w:val="clear" w:color="auto" w:fill="auto"/>
            <w:vAlign w:val="center"/>
          </w:tcPr>
          <w:p w14:paraId="65E5C84F" w14:textId="77777777" w:rsidR="005504B5" w:rsidRPr="001B703D" w:rsidRDefault="005504B5" w:rsidP="00EE730E">
            <w:pPr>
              <w:rPr>
                <w:rFonts w:cstheme="minorHAnsi"/>
              </w:rPr>
            </w:pPr>
            <w:r w:rsidRPr="001B703D">
              <w:rPr>
                <w:rFonts w:cstheme="minorHAnsi"/>
              </w:rPr>
              <w:t>Rainbow Refugee Society</w:t>
            </w:r>
          </w:p>
        </w:tc>
        <w:tc>
          <w:tcPr>
            <w:tcW w:w="6379" w:type="dxa"/>
            <w:vAlign w:val="center"/>
          </w:tcPr>
          <w:p w14:paraId="3B4271CA" w14:textId="77777777" w:rsidR="005504B5" w:rsidRPr="001B703D" w:rsidRDefault="005504B5" w:rsidP="00EE730E">
            <w:pPr>
              <w:rPr>
                <w:rFonts w:eastAsia="Times New Roman" w:cstheme="minorHAnsi"/>
                <w:shd w:val="clear" w:color="auto" w:fill="FFFFFF"/>
                <w:lang w:eastAsia="en-CA"/>
              </w:rPr>
            </w:pPr>
            <w:r w:rsidRPr="001B703D">
              <w:rPr>
                <w:rFonts w:eastAsia="Times New Roman" w:cstheme="minorHAnsi"/>
                <w:shd w:val="clear" w:color="auto" w:fill="FFFFFF"/>
                <w:lang w:eastAsia="en-CA"/>
              </w:rPr>
              <w:t>The Society promotes safe, equitable migration</w:t>
            </w:r>
            <w:r>
              <w:rPr>
                <w:rFonts w:eastAsia="Times New Roman" w:cstheme="minorHAnsi"/>
                <w:shd w:val="clear" w:color="auto" w:fill="FFFFFF"/>
                <w:lang w:eastAsia="en-CA"/>
              </w:rPr>
              <w:t>,</w:t>
            </w:r>
            <w:r w:rsidRPr="001B703D">
              <w:rPr>
                <w:rFonts w:eastAsia="Times New Roman" w:cstheme="minorHAnsi"/>
                <w:shd w:val="clear" w:color="auto" w:fill="FFFFFF"/>
                <w:lang w:eastAsia="en-CA"/>
              </w:rPr>
              <w:t xml:space="preserve"> and communities of belonging for people fleeing persecution on their sexual orientation, gender identity, gender expression, or HIV status. They provide support, information and system navigation to refugees and refugee claimants seeking refugee status in Canada. </w:t>
            </w:r>
          </w:p>
        </w:tc>
        <w:tc>
          <w:tcPr>
            <w:tcW w:w="1276" w:type="dxa"/>
            <w:vAlign w:val="center"/>
          </w:tcPr>
          <w:p w14:paraId="7F142C38"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$10,000</w:t>
            </w:r>
          </w:p>
        </w:tc>
      </w:tr>
      <w:tr w:rsidR="005504B5" w:rsidRPr="009E353E" w14:paraId="61D9622E" w14:textId="77777777" w:rsidTr="005504B5">
        <w:trPr>
          <w:trHeight w:val="1135"/>
        </w:trPr>
        <w:tc>
          <w:tcPr>
            <w:tcW w:w="2808" w:type="dxa"/>
            <w:shd w:val="clear" w:color="auto" w:fill="auto"/>
            <w:vAlign w:val="center"/>
          </w:tcPr>
          <w:p w14:paraId="1CD85AC8" w14:textId="77777777" w:rsidR="005504B5" w:rsidRPr="004D5487" w:rsidRDefault="005504B5" w:rsidP="00EE730E">
            <w:pPr>
              <w:rPr>
                <w:rFonts w:cstheme="minorHAnsi"/>
              </w:rPr>
            </w:pPr>
            <w:r w:rsidRPr="004D5487">
              <w:rPr>
                <w:rFonts w:cstheme="minorHAnsi"/>
              </w:rPr>
              <w:t>TFL Technology for Living Society</w:t>
            </w:r>
          </w:p>
        </w:tc>
        <w:tc>
          <w:tcPr>
            <w:tcW w:w="6379" w:type="dxa"/>
            <w:vAlign w:val="center"/>
          </w:tcPr>
          <w:p w14:paraId="331F6075" w14:textId="77777777" w:rsidR="005504B5" w:rsidRPr="004D5487" w:rsidRDefault="005504B5" w:rsidP="00EE730E">
            <w:pPr>
              <w:rPr>
                <w:rFonts w:eastAsia="Times New Roman" w:cstheme="minorHAnsi"/>
                <w:shd w:val="clear" w:color="auto" w:fill="FFFFFF"/>
                <w:lang w:eastAsia="en-CA"/>
              </w:rPr>
            </w:pPr>
            <w:r w:rsidRPr="004D5487">
              <w:rPr>
                <w:rFonts w:cstheme="minorHAnsi"/>
                <w:shd w:val="clear" w:color="auto" w:fill="FFFFFF"/>
              </w:rPr>
              <w:t>Provides assistive technology support to BC adults with severe physical disabilities to improve their independence and employment inclusion in their own communities through technological equipment and ongoing support.</w:t>
            </w:r>
          </w:p>
        </w:tc>
        <w:tc>
          <w:tcPr>
            <w:tcW w:w="1276" w:type="dxa"/>
            <w:vAlign w:val="center"/>
          </w:tcPr>
          <w:p w14:paraId="55C42C03" w14:textId="77777777" w:rsidR="005504B5" w:rsidRPr="004D5487"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$15,000</w:t>
            </w:r>
          </w:p>
        </w:tc>
      </w:tr>
      <w:tr w:rsidR="005504B5" w:rsidRPr="009E353E" w14:paraId="0D91DE19" w14:textId="77777777" w:rsidTr="005504B5">
        <w:trPr>
          <w:trHeight w:val="1405"/>
        </w:trPr>
        <w:tc>
          <w:tcPr>
            <w:tcW w:w="2808" w:type="dxa"/>
            <w:shd w:val="clear" w:color="auto" w:fill="auto"/>
            <w:vAlign w:val="center"/>
          </w:tcPr>
          <w:p w14:paraId="6B98588C" w14:textId="77777777" w:rsidR="005504B5" w:rsidRPr="001B703D" w:rsidRDefault="005504B5" w:rsidP="00EE730E">
            <w:pPr>
              <w:rPr>
                <w:rFonts w:cstheme="minorHAnsi"/>
              </w:rPr>
            </w:pPr>
            <w:proofErr w:type="spellStart"/>
            <w:r w:rsidRPr="001B703D">
              <w:rPr>
                <w:rFonts w:cstheme="minorHAnsi"/>
              </w:rPr>
              <w:t>Odihi</w:t>
            </w:r>
            <w:proofErr w:type="spellEnd"/>
          </w:p>
        </w:tc>
        <w:tc>
          <w:tcPr>
            <w:tcW w:w="6379" w:type="dxa"/>
            <w:vAlign w:val="center"/>
          </w:tcPr>
          <w:p w14:paraId="4E89EAE5" w14:textId="77777777" w:rsidR="005504B5" w:rsidRPr="001B703D" w:rsidRDefault="005504B5" w:rsidP="00EE730E">
            <w:pPr>
              <w:pStyle w:val="04xlpa"/>
              <w:shd w:val="clear" w:color="auto" w:fill="FFFFFF"/>
              <w:spacing w:before="0" w:beforeAutospacing="0" w:after="0" w:afterAutospacing="0" w:line="270" w:lineRule="atLeast"/>
              <w:rPr>
                <w:rFonts w:asciiTheme="minorHAnsi" w:hAnsiTheme="minorHAnsi" w:cstheme="minorHAnsi"/>
                <w:color w:val="101010"/>
                <w:sz w:val="22"/>
                <w:szCs w:val="22"/>
              </w:rPr>
            </w:pPr>
            <w:r>
              <w:rPr>
                <w:rStyle w:val="jsgrdq"/>
                <w:rFonts w:asciiTheme="minorHAnsi" w:hAnsiTheme="minorHAnsi" w:cstheme="minorHAnsi"/>
                <w:color w:val="101010"/>
                <w:sz w:val="22"/>
                <w:szCs w:val="22"/>
              </w:rPr>
              <w:t>A</w:t>
            </w:r>
            <w:r w:rsidRPr="001B703D">
              <w:rPr>
                <w:rStyle w:val="jsgrdq"/>
                <w:rFonts w:asciiTheme="minorHAnsi" w:hAnsiTheme="minorHAnsi" w:cstheme="minorHAnsi"/>
                <w:color w:val="101010"/>
                <w:sz w:val="22"/>
                <w:szCs w:val="22"/>
              </w:rPr>
              <w:t xml:space="preserve"> Black-led non-for-profit dedicated to educating, equipping, and empowering BIPOC girls and women through mentorship programs, educational events, workshops, and coaching.</w:t>
            </w:r>
            <w:r>
              <w:rPr>
                <w:rStyle w:val="jsgrdq"/>
                <w:rFonts w:asciiTheme="minorHAnsi" w:hAnsiTheme="minorHAnsi" w:cstheme="minorHAnsi"/>
                <w:color w:val="101010"/>
                <w:sz w:val="22"/>
                <w:szCs w:val="22"/>
              </w:rPr>
              <w:t xml:space="preserve"> </w:t>
            </w:r>
            <w:r w:rsidRPr="001B703D">
              <w:rPr>
                <w:rStyle w:val="jsgrdq"/>
                <w:rFonts w:asciiTheme="minorHAnsi" w:hAnsiTheme="minorHAnsi" w:cstheme="minorHAnsi"/>
                <w:color w:val="101010"/>
                <w:sz w:val="22"/>
                <w:szCs w:val="22"/>
              </w:rPr>
              <w:t>Our mission is to equip BIPOC females (ages 10-25) with the tools to become confident, self-motivated, innovators, and change-makers.</w:t>
            </w:r>
          </w:p>
        </w:tc>
        <w:tc>
          <w:tcPr>
            <w:tcW w:w="1276" w:type="dxa"/>
            <w:vAlign w:val="center"/>
          </w:tcPr>
          <w:p w14:paraId="1C052CBC"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$15,000</w:t>
            </w:r>
          </w:p>
        </w:tc>
      </w:tr>
      <w:tr w:rsidR="005504B5" w:rsidRPr="005504B5" w14:paraId="1A0C8681" w14:textId="77777777" w:rsidTr="005504B5">
        <w:trPr>
          <w:trHeight w:val="1405"/>
        </w:trPr>
        <w:tc>
          <w:tcPr>
            <w:tcW w:w="2808" w:type="dxa"/>
            <w:shd w:val="clear" w:color="auto" w:fill="auto"/>
            <w:vAlign w:val="center"/>
          </w:tcPr>
          <w:p w14:paraId="1DDA6FBF" w14:textId="7B015DB6" w:rsidR="005504B5" w:rsidRPr="005504B5" w:rsidRDefault="005504B5" w:rsidP="005504B5">
            <w:pPr>
              <w:rPr>
                <w:rFonts w:cstheme="minorHAnsi"/>
              </w:rPr>
            </w:pPr>
            <w:r w:rsidRPr="005504B5">
              <w:rPr>
                <w:rFonts w:cstheme="minorHAnsi"/>
              </w:rPr>
              <w:t>Shelter Movers</w:t>
            </w:r>
          </w:p>
        </w:tc>
        <w:tc>
          <w:tcPr>
            <w:tcW w:w="6379" w:type="dxa"/>
            <w:vAlign w:val="center"/>
          </w:tcPr>
          <w:p w14:paraId="5FFDA5C9" w14:textId="7E751A2E" w:rsidR="005504B5" w:rsidRPr="005504B5" w:rsidRDefault="005504B5" w:rsidP="005504B5">
            <w:pPr>
              <w:pStyle w:val="04xlpa"/>
              <w:shd w:val="clear" w:color="auto" w:fill="FFFFFF"/>
              <w:spacing w:before="0" w:beforeAutospacing="0" w:after="0" w:afterAutospacing="0" w:line="270" w:lineRule="atLeast"/>
              <w:rPr>
                <w:rStyle w:val="jsgrdq"/>
                <w:rFonts w:asciiTheme="minorHAnsi" w:hAnsiTheme="minorHAnsi" w:cstheme="minorHAnsi"/>
                <w:color w:val="101010"/>
                <w:sz w:val="22"/>
                <w:szCs w:val="22"/>
              </w:rPr>
            </w:pPr>
            <w:r w:rsidRPr="005504B5">
              <w:rPr>
                <w:rFonts w:asciiTheme="minorHAnsi" w:hAnsiTheme="minorHAnsi" w:cstheme="minorHAnsi"/>
                <w:sz w:val="22"/>
                <w:szCs w:val="22"/>
              </w:rPr>
              <w:t>A volunteer-powered charity helping survivors fleeing abuse gather and store their belongings, and then move their belongings to their new home. Without Shelter Movers, most survivors would have to choose between staying with their abusers or risk their safety fleeing and losing almost everything. In collaboration with local businesses and community agencies, we help families transition to a life free of violence. We are the only service of this kind in BC.</w:t>
            </w:r>
          </w:p>
        </w:tc>
        <w:tc>
          <w:tcPr>
            <w:tcW w:w="1276" w:type="dxa"/>
            <w:vAlign w:val="center"/>
          </w:tcPr>
          <w:p w14:paraId="20CE0117" w14:textId="6D7A5BB5" w:rsidR="005504B5" w:rsidRPr="005504B5" w:rsidRDefault="005504B5" w:rsidP="005504B5">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5504B5">
              <w:rPr>
                <w:rFonts w:asciiTheme="minorHAnsi" w:hAnsiTheme="minorHAnsi" w:cstheme="minorHAnsi"/>
                <w:sz w:val="22"/>
                <w:szCs w:val="22"/>
                <w:shd w:val="clear" w:color="auto" w:fill="FFFFFF"/>
              </w:rPr>
              <w:t>$5,000</w:t>
            </w:r>
          </w:p>
        </w:tc>
      </w:tr>
    </w:tbl>
    <w:p w14:paraId="30022898" w14:textId="77777777" w:rsidR="005504B5" w:rsidRDefault="005504B5" w:rsidP="005504B5">
      <w:pPr>
        <w:pStyle w:val="paragraph"/>
        <w:spacing w:before="0" w:beforeAutospacing="0" w:after="0" w:afterAutospacing="0"/>
        <w:ind w:left="-567"/>
        <w:textAlignment w:val="baseline"/>
        <w:rPr>
          <w:rStyle w:val="normaltextrun"/>
          <w:rFonts w:ascii="Calibri" w:hAnsi="Calibri" w:cs="Calibri"/>
          <w:sz w:val="22"/>
          <w:szCs w:val="22"/>
        </w:rPr>
      </w:pPr>
    </w:p>
    <w:p w14:paraId="5DDC1BF2" w14:textId="29DE44CC" w:rsidR="005504B5" w:rsidRPr="005504B5" w:rsidRDefault="005504B5" w:rsidP="005504B5">
      <w:pPr>
        <w:pStyle w:val="Heading1"/>
        <w:ind w:left="-567" w:firstLine="27"/>
        <w:rPr>
          <w:rStyle w:val="normaltextrun"/>
          <w:sz w:val="28"/>
          <w:szCs w:val="28"/>
        </w:rPr>
      </w:pPr>
      <w:r w:rsidRPr="005504B5">
        <w:rPr>
          <w:rStyle w:val="normaltextrun"/>
          <w:sz w:val="28"/>
          <w:szCs w:val="28"/>
        </w:rPr>
        <w:lastRenderedPageBreak/>
        <w:t>Enderby Financial Community Endowment</w:t>
      </w:r>
    </w:p>
    <w:tbl>
      <w:tblPr>
        <w:tblStyle w:val="TableGrid"/>
        <w:tblW w:w="10490" w:type="dxa"/>
        <w:tblInd w:w="-572" w:type="dxa"/>
        <w:tblLayout w:type="fixed"/>
        <w:tblLook w:val="04A0" w:firstRow="1" w:lastRow="0" w:firstColumn="1" w:lastColumn="0" w:noHBand="0" w:noVBand="1"/>
      </w:tblPr>
      <w:tblGrid>
        <w:gridCol w:w="2835"/>
        <w:gridCol w:w="6663"/>
        <w:gridCol w:w="992"/>
      </w:tblGrid>
      <w:tr w:rsidR="005504B5" w14:paraId="5F03A35E" w14:textId="77777777" w:rsidTr="005504B5">
        <w:trPr>
          <w:trHeight w:val="431"/>
        </w:trPr>
        <w:tc>
          <w:tcPr>
            <w:tcW w:w="2835" w:type="dxa"/>
            <w:shd w:val="clear" w:color="auto" w:fill="DEEAF6" w:themeFill="accent5" w:themeFillTint="33"/>
            <w:vAlign w:val="center"/>
          </w:tcPr>
          <w:p w14:paraId="6028ECC0" w14:textId="77777777" w:rsidR="005504B5" w:rsidRDefault="005504B5" w:rsidP="00EE730E">
            <w:pPr>
              <w:rPr>
                <w:b/>
                <w:bCs/>
                <w:lang w:val="en-US"/>
              </w:rPr>
            </w:pPr>
            <w:r>
              <w:rPr>
                <w:b/>
                <w:bCs/>
                <w:lang w:val="en-US"/>
              </w:rPr>
              <w:t>Organization</w:t>
            </w:r>
          </w:p>
        </w:tc>
        <w:tc>
          <w:tcPr>
            <w:tcW w:w="6663" w:type="dxa"/>
            <w:shd w:val="clear" w:color="auto" w:fill="DEEAF6" w:themeFill="accent5" w:themeFillTint="33"/>
            <w:vAlign w:val="center"/>
          </w:tcPr>
          <w:p w14:paraId="1D0F79CA" w14:textId="77777777" w:rsidR="005504B5" w:rsidRDefault="005504B5" w:rsidP="00EE730E">
            <w:pPr>
              <w:rPr>
                <w:b/>
                <w:bCs/>
                <w:lang w:val="en-US"/>
              </w:rPr>
            </w:pPr>
            <w:r w:rsidRPr="00712565">
              <w:rPr>
                <w:b/>
                <w:bCs/>
                <w:lang w:val="en-US"/>
              </w:rPr>
              <w:t>Organization Focus</w:t>
            </w:r>
          </w:p>
        </w:tc>
        <w:tc>
          <w:tcPr>
            <w:tcW w:w="992" w:type="dxa"/>
            <w:shd w:val="clear" w:color="auto" w:fill="DEEAF6" w:themeFill="accent5" w:themeFillTint="33"/>
            <w:vAlign w:val="center"/>
          </w:tcPr>
          <w:p w14:paraId="75BFED68" w14:textId="77777777" w:rsidR="005504B5" w:rsidRPr="00712565" w:rsidRDefault="005504B5" w:rsidP="00EE730E">
            <w:pPr>
              <w:jc w:val="center"/>
              <w:rPr>
                <w:b/>
                <w:bCs/>
                <w:lang w:val="en-US"/>
              </w:rPr>
            </w:pPr>
            <w:r>
              <w:rPr>
                <w:b/>
                <w:bCs/>
                <w:lang w:val="en-US"/>
              </w:rPr>
              <w:t>Grant Amount</w:t>
            </w:r>
          </w:p>
        </w:tc>
      </w:tr>
      <w:tr w:rsidR="005504B5" w:rsidRPr="009E353E" w14:paraId="27DB283D" w14:textId="77777777" w:rsidTr="005504B5">
        <w:trPr>
          <w:trHeight w:val="917"/>
        </w:trPr>
        <w:tc>
          <w:tcPr>
            <w:tcW w:w="2835" w:type="dxa"/>
            <w:shd w:val="clear" w:color="auto" w:fill="auto"/>
            <w:vAlign w:val="center"/>
          </w:tcPr>
          <w:p w14:paraId="299F3F44" w14:textId="77777777" w:rsidR="005504B5" w:rsidRDefault="005504B5" w:rsidP="00EE730E">
            <w:pPr>
              <w:rPr>
                <w:rFonts w:cstheme="minorHAnsi"/>
              </w:rPr>
            </w:pPr>
            <w:r>
              <w:rPr>
                <w:rFonts w:cstheme="minorHAnsi"/>
              </w:rPr>
              <w:t>AL Fortune Secondary School</w:t>
            </w:r>
          </w:p>
        </w:tc>
        <w:tc>
          <w:tcPr>
            <w:tcW w:w="6663" w:type="dxa"/>
            <w:vAlign w:val="center"/>
          </w:tcPr>
          <w:p w14:paraId="5D4ADFAE" w14:textId="77777777" w:rsidR="005504B5" w:rsidRPr="00780591" w:rsidRDefault="005504B5" w:rsidP="00EE730E">
            <w:pPr>
              <w:pStyle w:val="paragraph"/>
              <w:spacing w:before="0" w:beforeAutospacing="0" w:after="0" w:afterAutospacing="0"/>
              <w:textAlignment w:val="baseline"/>
              <w:rPr>
                <w:rFonts w:asciiTheme="minorHAnsi" w:hAnsiTheme="minorHAnsi" w:cstheme="minorHAnsi"/>
                <w:sz w:val="22"/>
                <w:szCs w:val="22"/>
              </w:rPr>
            </w:pPr>
            <w:r w:rsidRPr="00780591">
              <w:rPr>
                <w:rFonts w:asciiTheme="minorHAnsi" w:hAnsiTheme="minorHAnsi" w:cstheme="minorHAnsi"/>
                <w:sz w:val="22"/>
                <w:szCs w:val="22"/>
              </w:rPr>
              <w:t xml:space="preserve">Community Support Program provides direct support to students in the community by offering structured activities before and after school. </w:t>
            </w:r>
          </w:p>
        </w:tc>
        <w:tc>
          <w:tcPr>
            <w:tcW w:w="992" w:type="dxa"/>
            <w:vAlign w:val="center"/>
          </w:tcPr>
          <w:p w14:paraId="1C73F719" w14:textId="77777777" w:rsidR="005504B5"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$5,000</w:t>
            </w:r>
          </w:p>
        </w:tc>
      </w:tr>
      <w:tr w:rsidR="005504B5" w:rsidRPr="009E353E" w14:paraId="645D4E3E" w14:textId="77777777" w:rsidTr="005504B5">
        <w:trPr>
          <w:trHeight w:val="1493"/>
        </w:trPr>
        <w:tc>
          <w:tcPr>
            <w:tcW w:w="2835" w:type="dxa"/>
            <w:shd w:val="clear" w:color="auto" w:fill="auto"/>
            <w:vAlign w:val="center"/>
          </w:tcPr>
          <w:p w14:paraId="1DA381CE" w14:textId="77777777" w:rsidR="005504B5" w:rsidRDefault="005504B5" w:rsidP="00EE730E">
            <w:pPr>
              <w:rPr>
                <w:rFonts w:cstheme="minorHAnsi"/>
              </w:rPr>
            </w:pPr>
            <w:r>
              <w:rPr>
                <w:rFonts w:cstheme="minorHAnsi"/>
              </w:rPr>
              <w:t>Enderby &amp; District Community Resource Centre</w:t>
            </w:r>
          </w:p>
        </w:tc>
        <w:tc>
          <w:tcPr>
            <w:tcW w:w="6663" w:type="dxa"/>
            <w:vAlign w:val="center"/>
          </w:tcPr>
          <w:p w14:paraId="24B786EB" w14:textId="77777777" w:rsidR="005504B5" w:rsidRPr="00780591" w:rsidRDefault="005504B5" w:rsidP="00EE730E">
            <w:pPr>
              <w:pStyle w:val="paragraph"/>
              <w:spacing w:before="0" w:beforeAutospacing="0" w:after="0" w:afterAutospacing="0"/>
              <w:textAlignment w:val="baseline"/>
              <w:rPr>
                <w:rFonts w:asciiTheme="minorHAnsi" w:hAnsiTheme="minorHAnsi" w:cstheme="minorHAnsi"/>
                <w:sz w:val="22"/>
                <w:szCs w:val="22"/>
              </w:rPr>
            </w:pPr>
            <w:r w:rsidRPr="00C639C7">
              <w:rPr>
                <w:rFonts w:asciiTheme="minorHAnsi" w:hAnsiTheme="minorHAnsi" w:cstheme="minorHAnsi"/>
                <w:sz w:val="22"/>
                <w:szCs w:val="22"/>
              </w:rPr>
              <w:t>Outreach Worker/Community Support Program provides direct support to families in the community, offering intense parenting support, referrals, crisis intervention, short-term counseling, and life skills. Funds seek to expand the current work arrangement with additional hours for program facilitator.</w:t>
            </w:r>
          </w:p>
        </w:tc>
        <w:tc>
          <w:tcPr>
            <w:tcW w:w="992" w:type="dxa"/>
            <w:vAlign w:val="center"/>
          </w:tcPr>
          <w:p w14:paraId="2FBF98FF" w14:textId="77777777" w:rsidR="005504B5"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$14,000</w:t>
            </w:r>
          </w:p>
        </w:tc>
      </w:tr>
      <w:tr w:rsidR="005504B5" w:rsidRPr="009E353E" w14:paraId="5740F147" w14:textId="77777777" w:rsidTr="005504B5">
        <w:trPr>
          <w:trHeight w:val="800"/>
        </w:trPr>
        <w:tc>
          <w:tcPr>
            <w:tcW w:w="2835" w:type="dxa"/>
            <w:shd w:val="clear" w:color="auto" w:fill="auto"/>
            <w:vAlign w:val="center"/>
          </w:tcPr>
          <w:p w14:paraId="0D7CD6EB" w14:textId="3335E76A" w:rsidR="005504B5" w:rsidRDefault="005504B5" w:rsidP="005504B5">
            <w:pPr>
              <w:rPr>
                <w:rFonts w:cstheme="minorHAnsi"/>
              </w:rPr>
            </w:pPr>
            <w:r w:rsidRPr="008C1163">
              <w:rPr>
                <w:rFonts w:cstheme="minorHAnsi"/>
                <w:lang w:val="en-US"/>
              </w:rPr>
              <w:t>Feed Enderby &amp; District Food Bank</w:t>
            </w:r>
          </w:p>
        </w:tc>
        <w:tc>
          <w:tcPr>
            <w:tcW w:w="6663" w:type="dxa"/>
            <w:vAlign w:val="center"/>
          </w:tcPr>
          <w:p w14:paraId="094DBCB5" w14:textId="35FBA061" w:rsidR="005504B5" w:rsidRPr="00C639C7" w:rsidRDefault="005504B5" w:rsidP="005504B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Serving approximately 100 households monthly in Enderby and surrounding communities.</w:t>
            </w:r>
          </w:p>
        </w:tc>
        <w:tc>
          <w:tcPr>
            <w:tcW w:w="992" w:type="dxa"/>
            <w:vAlign w:val="center"/>
          </w:tcPr>
          <w:p w14:paraId="064D1C3D" w14:textId="11447F09" w:rsidR="005504B5" w:rsidRDefault="005504B5" w:rsidP="005504B5">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$2,000</w:t>
            </w:r>
          </w:p>
        </w:tc>
      </w:tr>
    </w:tbl>
    <w:p w14:paraId="6A8F9808" w14:textId="77777777" w:rsidR="005504B5" w:rsidRDefault="005504B5" w:rsidP="005504B5">
      <w:pPr>
        <w:rPr>
          <w:rStyle w:val="normaltextrun"/>
          <w:rFonts w:ascii="Calibri" w:hAnsi="Calibri" w:cs="Calibri"/>
        </w:rPr>
      </w:pPr>
    </w:p>
    <w:p w14:paraId="21C8603F" w14:textId="45EFC680" w:rsidR="005504B5" w:rsidRPr="005504B5" w:rsidRDefault="005504B5" w:rsidP="005504B5">
      <w:pPr>
        <w:pStyle w:val="Heading1"/>
        <w:ind w:left="-567" w:firstLine="27"/>
        <w:rPr>
          <w:rStyle w:val="normaltextrun"/>
          <w:sz w:val="28"/>
          <w:szCs w:val="28"/>
        </w:rPr>
      </w:pPr>
      <w:r w:rsidRPr="005504B5">
        <w:rPr>
          <w:rStyle w:val="normaltextrun"/>
          <w:sz w:val="28"/>
          <w:szCs w:val="28"/>
        </w:rPr>
        <w:t>Island Savings Community Endowment</w:t>
      </w:r>
    </w:p>
    <w:tbl>
      <w:tblPr>
        <w:tblStyle w:val="TableGrid"/>
        <w:tblW w:w="10490" w:type="dxa"/>
        <w:tblInd w:w="-572" w:type="dxa"/>
        <w:tblLayout w:type="fixed"/>
        <w:tblLook w:val="04A0" w:firstRow="1" w:lastRow="0" w:firstColumn="1" w:lastColumn="0" w:noHBand="0" w:noVBand="1"/>
      </w:tblPr>
      <w:tblGrid>
        <w:gridCol w:w="2835"/>
        <w:gridCol w:w="6663"/>
        <w:gridCol w:w="992"/>
      </w:tblGrid>
      <w:tr w:rsidR="005504B5" w14:paraId="2872080E" w14:textId="77777777" w:rsidTr="00EE730E">
        <w:trPr>
          <w:trHeight w:val="431"/>
        </w:trPr>
        <w:tc>
          <w:tcPr>
            <w:tcW w:w="2835" w:type="dxa"/>
            <w:shd w:val="clear" w:color="auto" w:fill="DEEAF6" w:themeFill="accent5" w:themeFillTint="33"/>
            <w:vAlign w:val="center"/>
          </w:tcPr>
          <w:p w14:paraId="1F211599" w14:textId="77777777" w:rsidR="005504B5" w:rsidRDefault="005504B5" w:rsidP="00EE730E">
            <w:pPr>
              <w:rPr>
                <w:b/>
                <w:bCs/>
                <w:lang w:val="en-US"/>
              </w:rPr>
            </w:pPr>
            <w:r>
              <w:rPr>
                <w:b/>
                <w:bCs/>
                <w:lang w:val="en-US"/>
              </w:rPr>
              <w:t>Organization</w:t>
            </w:r>
          </w:p>
        </w:tc>
        <w:tc>
          <w:tcPr>
            <w:tcW w:w="6663" w:type="dxa"/>
            <w:shd w:val="clear" w:color="auto" w:fill="DEEAF6" w:themeFill="accent5" w:themeFillTint="33"/>
            <w:vAlign w:val="center"/>
          </w:tcPr>
          <w:p w14:paraId="534657B6" w14:textId="77777777" w:rsidR="005504B5" w:rsidRDefault="005504B5" w:rsidP="00EE730E">
            <w:pPr>
              <w:rPr>
                <w:b/>
                <w:bCs/>
                <w:lang w:val="en-US"/>
              </w:rPr>
            </w:pPr>
            <w:r w:rsidRPr="00712565">
              <w:rPr>
                <w:b/>
                <w:bCs/>
                <w:lang w:val="en-US"/>
              </w:rPr>
              <w:t>Organization Focus</w:t>
            </w:r>
          </w:p>
        </w:tc>
        <w:tc>
          <w:tcPr>
            <w:tcW w:w="992" w:type="dxa"/>
            <w:shd w:val="clear" w:color="auto" w:fill="DEEAF6" w:themeFill="accent5" w:themeFillTint="33"/>
            <w:vAlign w:val="center"/>
          </w:tcPr>
          <w:p w14:paraId="4C9FC5BF" w14:textId="77777777" w:rsidR="005504B5" w:rsidRPr="00712565" w:rsidRDefault="005504B5" w:rsidP="00EE730E">
            <w:pPr>
              <w:jc w:val="center"/>
              <w:rPr>
                <w:b/>
                <w:bCs/>
                <w:lang w:val="en-US"/>
              </w:rPr>
            </w:pPr>
            <w:r>
              <w:rPr>
                <w:b/>
                <w:bCs/>
                <w:lang w:val="en-US"/>
              </w:rPr>
              <w:t>Grant Amount</w:t>
            </w:r>
          </w:p>
        </w:tc>
      </w:tr>
      <w:tr w:rsidR="005504B5" w:rsidRPr="009E353E" w14:paraId="1B93985A" w14:textId="77777777" w:rsidTr="00EE730E">
        <w:trPr>
          <w:trHeight w:val="1007"/>
        </w:trPr>
        <w:tc>
          <w:tcPr>
            <w:tcW w:w="2835" w:type="dxa"/>
            <w:shd w:val="clear" w:color="auto" w:fill="auto"/>
            <w:vAlign w:val="center"/>
          </w:tcPr>
          <w:p w14:paraId="39ABC87E" w14:textId="77777777" w:rsidR="005504B5" w:rsidRPr="001B703D" w:rsidRDefault="005504B5" w:rsidP="00EE730E">
            <w:pPr>
              <w:rPr>
                <w:rFonts w:cstheme="minorHAnsi"/>
              </w:rPr>
            </w:pPr>
            <w:r w:rsidRPr="001B703D">
              <w:rPr>
                <w:rFonts w:cstheme="minorHAnsi"/>
              </w:rPr>
              <w:t>Inter-Cultural Association of Greater Victoria (ICA)</w:t>
            </w:r>
          </w:p>
        </w:tc>
        <w:tc>
          <w:tcPr>
            <w:tcW w:w="6663" w:type="dxa"/>
            <w:vAlign w:val="center"/>
          </w:tcPr>
          <w:p w14:paraId="0E376796"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rPr>
            </w:pPr>
            <w:r w:rsidRPr="001B703D">
              <w:rPr>
                <w:rFonts w:asciiTheme="minorHAnsi" w:hAnsiTheme="minorHAnsi" w:cstheme="minorHAnsi"/>
                <w:sz w:val="22"/>
                <w:szCs w:val="22"/>
              </w:rPr>
              <w:t>Through the arts, newcomers and BIPOC individuals who have suffered trauma because of war, racism, and other oppressions benefit from the use of art to tell their stories, to be seen and heard.</w:t>
            </w:r>
          </w:p>
        </w:tc>
        <w:tc>
          <w:tcPr>
            <w:tcW w:w="992" w:type="dxa"/>
            <w:vAlign w:val="center"/>
          </w:tcPr>
          <w:p w14:paraId="7E8DA8D9"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7</w:t>
            </w:r>
            <w:r w:rsidRPr="001B703D">
              <w:rPr>
                <w:rFonts w:asciiTheme="minorHAnsi" w:hAnsiTheme="minorHAnsi" w:cstheme="minorHAnsi"/>
                <w:sz w:val="22"/>
                <w:szCs w:val="22"/>
                <w:shd w:val="clear" w:color="auto" w:fill="FFFFFF"/>
              </w:rPr>
              <w:t>,000</w:t>
            </w:r>
          </w:p>
        </w:tc>
      </w:tr>
      <w:tr w:rsidR="005504B5" w:rsidRPr="009E353E" w14:paraId="273947F3" w14:textId="77777777" w:rsidTr="00EE730E">
        <w:trPr>
          <w:trHeight w:val="2037"/>
        </w:trPr>
        <w:tc>
          <w:tcPr>
            <w:tcW w:w="2835" w:type="dxa"/>
            <w:shd w:val="clear" w:color="auto" w:fill="auto"/>
            <w:vAlign w:val="center"/>
          </w:tcPr>
          <w:p w14:paraId="08487091" w14:textId="77777777" w:rsidR="005504B5" w:rsidRPr="001B703D" w:rsidRDefault="005504B5" w:rsidP="00EE730E">
            <w:pPr>
              <w:rPr>
                <w:rFonts w:cstheme="minorHAnsi"/>
              </w:rPr>
            </w:pPr>
          </w:p>
          <w:p w14:paraId="5E13232C" w14:textId="77777777" w:rsidR="005504B5" w:rsidRPr="001B703D" w:rsidRDefault="005504B5" w:rsidP="00EE730E">
            <w:pPr>
              <w:rPr>
                <w:rFonts w:cstheme="minorHAnsi"/>
              </w:rPr>
            </w:pPr>
            <w:r w:rsidRPr="001B703D">
              <w:rPr>
                <w:rFonts w:cstheme="minorHAnsi"/>
              </w:rPr>
              <w:t xml:space="preserve">Saanich Community Legacy Foundation </w:t>
            </w:r>
          </w:p>
        </w:tc>
        <w:tc>
          <w:tcPr>
            <w:tcW w:w="6663" w:type="dxa"/>
            <w:vAlign w:val="center"/>
          </w:tcPr>
          <w:p w14:paraId="1F39272D"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The Support Network for Indigenous Women &amp; Women of Colour (SNIWWOC) is committed to the empowerment of women with food, art, and education. They address barriers that limit access to healthcare and full reproductive choice. SNIWWOC operates from a holistic and integrative service model that addresses the social, cultural, and political realities of women who identify as Black, Indigenous, and people of colour (BIPOC).</w:t>
            </w:r>
          </w:p>
        </w:tc>
        <w:tc>
          <w:tcPr>
            <w:tcW w:w="992" w:type="dxa"/>
            <w:vAlign w:val="center"/>
          </w:tcPr>
          <w:p w14:paraId="6EA0BB2B"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rPr>
              <w:t>$</w:t>
            </w:r>
            <w:r>
              <w:rPr>
                <w:rFonts w:asciiTheme="minorHAnsi" w:hAnsiTheme="minorHAnsi" w:cstheme="minorHAnsi"/>
                <w:sz w:val="22"/>
                <w:szCs w:val="22"/>
              </w:rPr>
              <w:t>10</w:t>
            </w:r>
            <w:r w:rsidRPr="001B703D">
              <w:rPr>
                <w:rFonts w:asciiTheme="minorHAnsi" w:hAnsiTheme="minorHAnsi" w:cstheme="minorHAnsi"/>
                <w:sz w:val="22"/>
                <w:szCs w:val="22"/>
              </w:rPr>
              <w:t>,000</w:t>
            </w:r>
          </w:p>
        </w:tc>
      </w:tr>
      <w:tr w:rsidR="005504B5" w:rsidRPr="009E353E" w14:paraId="72B641A7" w14:textId="77777777" w:rsidTr="00EE730E">
        <w:trPr>
          <w:trHeight w:val="1620"/>
        </w:trPr>
        <w:tc>
          <w:tcPr>
            <w:tcW w:w="2835" w:type="dxa"/>
            <w:shd w:val="clear" w:color="auto" w:fill="auto"/>
            <w:vAlign w:val="center"/>
          </w:tcPr>
          <w:p w14:paraId="5B89FB55" w14:textId="77777777" w:rsidR="005504B5" w:rsidRPr="000C7FF3" w:rsidRDefault="005504B5" w:rsidP="00EE730E">
            <w:pPr>
              <w:rPr>
                <w:rFonts w:cstheme="minorHAnsi"/>
              </w:rPr>
            </w:pPr>
            <w:proofErr w:type="spellStart"/>
            <w:r w:rsidRPr="000C7FF3">
              <w:rPr>
                <w:rFonts w:cstheme="minorHAnsi"/>
              </w:rPr>
              <w:t>Ita</w:t>
            </w:r>
            <w:proofErr w:type="spellEnd"/>
            <w:r w:rsidRPr="000C7FF3">
              <w:rPr>
                <w:rFonts w:cstheme="minorHAnsi"/>
              </w:rPr>
              <w:t xml:space="preserve"> Wegman Association of BC for Curative Education and Social Therapy (“</w:t>
            </w:r>
            <w:proofErr w:type="spellStart"/>
            <w:r w:rsidRPr="000C7FF3">
              <w:rPr>
                <w:rFonts w:cstheme="minorHAnsi"/>
              </w:rPr>
              <w:t>Glenora</w:t>
            </w:r>
            <w:proofErr w:type="spellEnd"/>
            <w:r w:rsidRPr="000C7FF3">
              <w:rPr>
                <w:rFonts w:cstheme="minorHAnsi"/>
              </w:rPr>
              <w:t xml:space="preserve"> Farm”)  </w:t>
            </w:r>
          </w:p>
        </w:tc>
        <w:tc>
          <w:tcPr>
            <w:tcW w:w="6663" w:type="dxa"/>
            <w:vAlign w:val="center"/>
          </w:tcPr>
          <w:p w14:paraId="577BE5B6" w14:textId="77777777" w:rsidR="005504B5" w:rsidRPr="000C7FF3"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0C7FF3">
              <w:rPr>
                <w:rFonts w:asciiTheme="minorHAnsi" w:hAnsiTheme="minorHAnsi" w:cstheme="minorHAnsi"/>
                <w:color w:val="000000"/>
                <w:sz w:val="22"/>
                <w:szCs w:val="22"/>
                <w:shd w:val="clear" w:color="auto" w:fill="FFFFFF"/>
              </w:rPr>
              <w:t xml:space="preserve">We are a life-sharing community, where adults with developmental disabilities live, work and learn together with Coworkers. We have a three-acre vegetable garden, which produces thousands of pounds of fresh vegetables each year, a small herd of Dexter cows and a herd of about 30 East </w:t>
            </w:r>
            <w:proofErr w:type="spellStart"/>
            <w:r w:rsidRPr="000C7FF3">
              <w:rPr>
                <w:rFonts w:asciiTheme="minorHAnsi" w:hAnsiTheme="minorHAnsi" w:cstheme="minorHAnsi"/>
                <w:color w:val="000000"/>
                <w:sz w:val="22"/>
                <w:szCs w:val="22"/>
                <w:shd w:val="clear" w:color="auto" w:fill="FFFFFF"/>
              </w:rPr>
              <w:t>Fresian</w:t>
            </w:r>
            <w:proofErr w:type="spellEnd"/>
            <w:r w:rsidRPr="000C7FF3">
              <w:rPr>
                <w:rFonts w:asciiTheme="minorHAnsi" w:hAnsiTheme="minorHAnsi" w:cstheme="minorHAnsi"/>
                <w:color w:val="000000"/>
                <w:sz w:val="22"/>
                <w:szCs w:val="22"/>
                <w:shd w:val="clear" w:color="auto" w:fill="FFFFFF"/>
              </w:rPr>
              <w:t xml:space="preserve"> sheep.</w:t>
            </w:r>
          </w:p>
        </w:tc>
        <w:tc>
          <w:tcPr>
            <w:tcW w:w="992" w:type="dxa"/>
            <w:vAlign w:val="center"/>
          </w:tcPr>
          <w:p w14:paraId="47285E4B" w14:textId="77777777" w:rsidR="005504B5" w:rsidRPr="000C7FF3"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0C7FF3">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10</w:t>
            </w:r>
            <w:r w:rsidRPr="000C7FF3">
              <w:rPr>
                <w:rFonts w:asciiTheme="minorHAnsi" w:hAnsiTheme="minorHAnsi" w:cstheme="minorHAnsi"/>
                <w:sz w:val="22"/>
                <w:szCs w:val="22"/>
                <w:shd w:val="clear" w:color="auto" w:fill="FFFFFF"/>
              </w:rPr>
              <w:t>,000</w:t>
            </w:r>
          </w:p>
        </w:tc>
      </w:tr>
      <w:tr w:rsidR="005504B5" w:rsidRPr="009E353E" w14:paraId="05AC1E47" w14:textId="77777777" w:rsidTr="005504B5">
        <w:trPr>
          <w:trHeight w:val="647"/>
        </w:trPr>
        <w:tc>
          <w:tcPr>
            <w:tcW w:w="2835" w:type="dxa"/>
            <w:shd w:val="clear" w:color="auto" w:fill="auto"/>
            <w:vAlign w:val="center"/>
          </w:tcPr>
          <w:p w14:paraId="190028DF" w14:textId="697B590A" w:rsidR="005504B5" w:rsidRPr="000C7FF3" w:rsidRDefault="005504B5" w:rsidP="005504B5">
            <w:pPr>
              <w:rPr>
                <w:rFonts w:cstheme="minorHAnsi"/>
              </w:rPr>
            </w:pPr>
            <w:r>
              <w:rPr>
                <w:rFonts w:ascii="Calibri" w:hAnsi="Calibri" w:cs="Calibri"/>
                <w:color w:val="000000"/>
              </w:rPr>
              <w:t>Salt Spring Island Foundation</w:t>
            </w:r>
          </w:p>
        </w:tc>
        <w:tc>
          <w:tcPr>
            <w:tcW w:w="6663" w:type="dxa"/>
            <w:vAlign w:val="center"/>
          </w:tcPr>
          <w:p w14:paraId="362CB147" w14:textId="3C13B178" w:rsidR="005504B5" w:rsidRPr="000C7FF3" w:rsidRDefault="005504B5" w:rsidP="005504B5">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r>
              <w:rPr>
                <w:rFonts w:asciiTheme="minorHAnsi" w:hAnsiTheme="minorHAnsi" w:cstheme="minorHAnsi"/>
                <w:sz w:val="22"/>
                <w:szCs w:val="22"/>
                <w:shd w:val="clear" w:color="auto" w:fill="FFFFFF"/>
              </w:rPr>
              <w:t xml:space="preserve">Local community investment in programs and supports including Indigenous, youth empowerment, and neighbourhood grants. </w:t>
            </w:r>
          </w:p>
        </w:tc>
        <w:tc>
          <w:tcPr>
            <w:tcW w:w="992" w:type="dxa"/>
            <w:vAlign w:val="center"/>
          </w:tcPr>
          <w:p w14:paraId="6B99C875" w14:textId="5A8C2474" w:rsidR="005504B5" w:rsidRPr="000C7FF3" w:rsidRDefault="005504B5" w:rsidP="005504B5">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1,950</w:t>
            </w:r>
          </w:p>
        </w:tc>
      </w:tr>
    </w:tbl>
    <w:p w14:paraId="3A34FC8E" w14:textId="659BDC83" w:rsidR="005504B5" w:rsidRPr="005504B5" w:rsidRDefault="005504B5" w:rsidP="005504B5">
      <w:pPr>
        <w:pStyle w:val="Heading1"/>
        <w:ind w:hanging="540"/>
        <w:rPr>
          <w:rStyle w:val="normaltextrun"/>
          <w:sz w:val="28"/>
          <w:szCs w:val="28"/>
        </w:rPr>
      </w:pPr>
      <w:r w:rsidRPr="005504B5">
        <w:rPr>
          <w:rStyle w:val="normaltextrun"/>
          <w:sz w:val="28"/>
          <w:szCs w:val="28"/>
        </w:rPr>
        <w:t>Valley First Community Endowment</w:t>
      </w:r>
    </w:p>
    <w:tbl>
      <w:tblPr>
        <w:tblStyle w:val="TableGrid"/>
        <w:tblW w:w="10490" w:type="dxa"/>
        <w:tblInd w:w="-572" w:type="dxa"/>
        <w:tblLayout w:type="fixed"/>
        <w:tblLook w:val="04A0" w:firstRow="1" w:lastRow="0" w:firstColumn="1" w:lastColumn="0" w:noHBand="0" w:noVBand="1"/>
      </w:tblPr>
      <w:tblGrid>
        <w:gridCol w:w="2552"/>
        <w:gridCol w:w="6946"/>
        <w:gridCol w:w="992"/>
      </w:tblGrid>
      <w:tr w:rsidR="005504B5" w14:paraId="10418030" w14:textId="77777777" w:rsidTr="00EE730E">
        <w:trPr>
          <w:trHeight w:val="431"/>
        </w:trPr>
        <w:tc>
          <w:tcPr>
            <w:tcW w:w="2552" w:type="dxa"/>
            <w:shd w:val="clear" w:color="auto" w:fill="DEEAF6" w:themeFill="accent5" w:themeFillTint="33"/>
            <w:vAlign w:val="center"/>
          </w:tcPr>
          <w:p w14:paraId="1DC99946" w14:textId="77777777" w:rsidR="005504B5" w:rsidRPr="00511420" w:rsidRDefault="005504B5" w:rsidP="00EE730E">
            <w:pPr>
              <w:rPr>
                <w:rFonts w:cstheme="minorHAnsi"/>
                <w:b/>
                <w:bCs/>
                <w:lang w:val="en-US"/>
              </w:rPr>
            </w:pPr>
            <w:r w:rsidRPr="00511420">
              <w:rPr>
                <w:rFonts w:cstheme="minorHAnsi"/>
                <w:b/>
                <w:bCs/>
                <w:lang w:val="en-US"/>
              </w:rPr>
              <w:t>Organization</w:t>
            </w:r>
          </w:p>
        </w:tc>
        <w:tc>
          <w:tcPr>
            <w:tcW w:w="6946" w:type="dxa"/>
            <w:shd w:val="clear" w:color="auto" w:fill="DEEAF6" w:themeFill="accent5" w:themeFillTint="33"/>
            <w:vAlign w:val="center"/>
          </w:tcPr>
          <w:p w14:paraId="5A09C30F" w14:textId="77777777" w:rsidR="005504B5" w:rsidRPr="00511420" w:rsidRDefault="005504B5" w:rsidP="00EE730E">
            <w:pPr>
              <w:rPr>
                <w:rFonts w:cstheme="minorHAnsi"/>
                <w:b/>
                <w:bCs/>
                <w:lang w:val="en-US"/>
              </w:rPr>
            </w:pPr>
            <w:r w:rsidRPr="00511420">
              <w:rPr>
                <w:rFonts w:cstheme="minorHAnsi"/>
                <w:b/>
                <w:bCs/>
                <w:lang w:val="en-US"/>
              </w:rPr>
              <w:t>Organization Focus</w:t>
            </w:r>
          </w:p>
        </w:tc>
        <w:tc>
          <w:tcPr>
            <w:tcW w:w="992" w:type="dxa"/>
            <w:shd w:val="clear" w:color="auto" w:fill="DEEAF6" w:themeFill="accent5" w:themeFillTint="33"/>
          </w:tcPr>
          <w:p w14:paraId="438CEBDE" w14:textId="77777777" w:rsidR="005504B5" w:rsidRPr="00511420" w:rsidRDefault="005504B5" w:rsidP="00EE730E">
            <w:pPr>
              <w:jc w:val="center"/>
              <w:rPr>
                <w:rFonts w:cstheme="minorHAnsi"/>
                <w:b/>
                <w:bCs/>
                <w:lang w:val="en-US"/>
              </w:rPr>
            </w:pPr>
            <w:r w:rsidRPr="00511420">
              <w:rPr>
                <w:rFonts w:cstheme="minorHAnsi"/>
                <w:b/>
                <w:bCs/>
                <w:lang w:val="en-US"/>
              </w:rPr>
              <w:t>Grant Amount</w:t>
            </w:r>
          </w:p>
        </w:tc>
      </w:tr>
      <w:tr w:rsidR="005504B5" w:rsidRPr="001B703D" w14:paraId="54075608" w14:textId="77777777" w:rsidTr="00EE730E">
        <w:trPr>
          <w:trHeight w:val="1180"/>
        </w:trPr>
        <w:tc>
          <w:tcPr>
            <w:tcW w:w="2552" w:type="dxa"/>
            <w:shd w:val="clear" w:color="auto" w:fill="auto"/>
            <w:vAlign w:val="center"/>
          </w:tcPr>
          <w:p w14:paraId="3BDF716D" w14:textId="77777777" w:rsidR="005504B5" w:rsidRPr="001B703D" w:rsidRDefault="005504B5" w:rsidP="00EE730E">
            <w:pPr>
              <w:rPr>
                <w:rFonts w:cstheme="minorHAnsi"/>
                <w:lang w:val="en-US"/>
              </w:rPr>
            </w:pPr>
            <w:r w:rsidRPr="001B703D">
              <w:rPr>
                <w:rFonts w:cstheme="minorHAnsi"/>
                <w:lang w:val="en-US"/>
              </w:rPr>
              <w:t>The Bridge Youth &amp; Family Services</w:t>
            </w:r>
          </w:p>
        </w:tc>
        <w:tc>
          <w:tcPr>
            <w:tcW w:w="6946" w:type="dxa"/>
            <w:vAlign w:val="center"/>
          </w:tcPr>
          <w:p w14:paraId="060F4116"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rPr>
              <w:t>A weekly, facilitated program where youth ages 11-18 who identify as 2SLGBTQIA+ and their allies can meet supportive peers in a safe environment. Etcetera offers social activities, empowering discussions, and special events.</w:t>
            </w:r>
          </w:p>
        </w:tc>
        <w:tc>
          <w:tcPr>
            <w:tcW w:w="992" w:type="dxa"/>
            <w:vAlign w:val="center"/>
          </w:tcPr>
          <w:p w14:paraId="12409E58"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5</w:t>
            </w: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0</w:t>
            </w:r>
            <w:r w:rsidRPr="001B703D">
              <w:rPr>
                <w:rFonts w:asciiTheme="minorHAnsi" w:hAnsiTheme="minorHAnsi" w:cstheme="minorHAnsi"/>
                <w:sz w:val="22"/>
                <w:szCs w:val="22"/>
                <w:shd w:val="clear" w:color="auto" w:fill="FFFFFF"/>
              </w:rPr>
              <w:t>00</w:t>
            </w:r>
          </w:p>
        </w:tc>
      </w:tr>
      <w:tr w:rsidR="005504B5" w:rsidRPr="001B703D" w14:paraId="19A178C3" w14:textId="77777777" w:rsidTr="00EE730E">
        <w:trPr>
          <w:trHeight w:val="1180"/>
        </w:trPr>
        <w:tc>
          <w:tcPr>
            <w:tcW w:w="2552" w:type="dxa"/>
            <w:shd w:val="clear" w:color="auto" w:fill="auto"/>
            <w:vAlign w:val="center"/>
          </w:tcPr>
          <w:p w14:paraId="387C565C" w14:textId="77777777" w:rsidR="005504B5" w:rsidRPr="001B703D" w:rsidRDefault="005504B5" w:rsidP="00EE730E">
            <w:pPr>
              <w:rPr>
                <w:rFonts w:cstheme="minorHAnsi"/>
                <w:lang w:val="en-US"/>
              </w:rPr>
            </w:pPr>
            <w:r w:rsidRPr="001B703D">
              <w:rPr>
                <w:rFonts w:cstheme="minorHAnsi"/>
              </w:rPr>
              <w:lastRenderedPageBreak/>
              <w:t>Okanagan Similkameen Neurological Society</w:t>
            </w:r>
          </w:p>
        </w:tc>
        <w:tc>
          <w:tcPr>
            <w:tcW w:w="6946" w:type="dxa"/>
            <w:vAlign w:val="center"/>
          </w:tcPr>
          <w:p w14:paraId="1509DF04"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291400">
              <w:rPr>
                <w:rFonts w:asciiTheme="minorHAnsi" w:hAnsiTheme="minorHAnsi" w:cstheme="minorHAnsi"/>
                <w:sz w:val="22"/>
                <w:szCs w:val="22"/>
                <w:shd w:val="clear" w:color="auto" w:fill="FFFFFF"/>
              </w:rPr>
              <w:t>​We provide education and early intervention treatment to children facing developmental challenges. We assist in guiding and supporting the families of these children.</w:t>
            </w:r>
          </w:p>
        </w:tc>
        <w:tc>
          <w:tcPr>
            <w:tcW w:w="992" w:type="dxa"/>
            <w:vAlign w:val="center"/>
          </w:tcPr>
          <w:p w14:paraId="36BD5CE4"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$6,000</w:t>
            </w:r>
          </w:p>
        </w:tc>
      </w:tr>
      <w:tr w:rsidR="005504B5" w:rsidRPr="001B703D" w14:paraId="4030F328" w14:textId="77777777" w:rsidTr="00EE730E">
        <w:trPr>
          <w:trHeight w:val="1180"/>
        </w:trPr>
        <w:tc>
          <w:tcPr>
            <w:tcW w:w="2552" w:type="dxa"/>
            <w:shd w:val="clear" w:color="auto" w:fill="auto"/>
            <w:vAlign w:val="center"/>
          </w:tcPr>
          <w:p w14:paraId="62A293D3" w14:textId="77777777" w:rsidR="005504B5" w:rsidRPr="001B703D" w:rsidRDefault="005504B5" w:rsidP="00EE730E">
            <w:pPr>
              <w:rPr>
                <w:rFonts w:cstheme="minorHAnsi"/>
                <w:lang w:val="en-US"/>
              </w:rPr>
            </w:pPr>
            <w:r w:rsidRPr="001B703D">
              <w:rPr>
                <w:rFonts w:cstheme="minorHAnsi"/>
                <w:lang w:val="en-US"/>
              </w:rPr>
              <w:t xml:space="preserve">Impact </w:t>
            </w:r>
            <w:proofErr w:type="spellStart"/>
            <w:r w:rsidRPr="001B703D">
              <w:rPr>
                <w:rFonts w:cstheme="minorHAnsi"/>
                <w:lang w:val="en-US"/>
              </w:rPr>
              <w:t>ToolBox</w:t>
            </w:r>
            <w:proofErr w:type="spellEnd"/>
          </w:p>
        </w:tc>
        <w:tc>
          <w:tcPr>
            <w:tcW w:w="6946" w:type="dxa"/>
            <w:vAlign w:val="center"/>
          </w:tcPr>
          <w:p w14:paraId="120DEE55"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 xml:space="preserve">Empowers emerging leaders to transform their ideas and passion for social change and environmental protection into successful social enterprises and community development projects through comprehensive training, support, and tools. </w:t>
            </w:r>
          </w:p>
        </w:tc>
        <w:tc>
          <w:tcPr>
            <w:tcW w:w="992" w:type="dxa"/>
            <w:vAlign w:val="center"/>
          </w:tcPr>
          <w:p w14:paraId="3B7CDCD7"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7,500</w:t>
            </w:r>
          </w:p>
        </w:tc>
      </w:tr>
      <w:tr w:rsidR="005504B5" w:rsidRPr="001B703D" w14:paraId="6B46DA21" w14:textId="77777777" w:rsidTr="00EE730E">
        <w:trPr>
          <w:trHeight w:val="929"/>
        </w:trPr>
        <w:tc>
          <w:tcPr>
            <w:tcW w:w="2552" w:type="dxa"/>
            <w:shd w:val="clear" w:color="auto" w:fill="auto"/>
            <w:vAlign w:val="center"/>
          </w:tcPr>
          <w:p w14:paraId="30ED1136" w14:textId="77777777" w:rsidR="005504B5" w:rsidRPr="001B703D" w:rsidRDefault="005504B5" w:rsidP="00EE730E">
            <w:pPr>
              <w:rPr>
                <w:rFonts w:cstheme="minorHAnsi"/>
                <w:lang w:val="en-US"/>
              </w:rPr>
            </w:pPr>
            <w:r w:rsidRPr="001B703D">
              <w:rPr>
                <w:rFonts w:cstheme="minorHAnsi"/>
              </w:rPr>
              <w:t>This Space Belongs to You</w:t>
            </w:r>
          </w:p>
        </w:tc>
        <w:tc>
          <w:tcPr>
            <w:tcW w:w="6946" w:type="dxa"/>
            <w:vAlign w:val="center"/>
          </w:tcPr>
          <w:p w14:paraId="11BA09A1"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rPr>
            </w:pPr>
            <w:r w:rsidRPr="001B703D">
              <w:rPr>
                <w:rFonts w:asciiTheme="minorHAnsi" w:hAnsiTheme="minorHAnsi" w:cstheme="minorHAnsi"/>
                <w:sz w:val="22"/>
                <w:szCs w:val="22"/>
                <w:shd w:val="clear" w:color="auto" w:fill="FFFFFF"/>
              </w:rPr>
              <w:t>A dedicated program for 2S/LGBTQIA+, and/or IBPOC people (age 12-24) committed to providing safe, inclusive spaces and resources across the Okanagan.</w:t>
            </w:r>
          </w:p>
        </w:tc>
        <w:tc>
          <w:tcPr>
            <w:tcW w:w="992" w:type="dxa"/>
            <w:vAlign w:val="center"/>
          </w:tcPr>
          <w:p w14:paraId="29102421"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10,000</w:t>
            </w:r>
          </w:p>
        </w:tc>
      </w:tr>
      <w:tr w:rsidR="005504B5" w:rsidRPr="001B703D" w14:paraId="628C3A83" w14:textId="77777777" w:rsidTr="00EE730E">
        <w:trPr>
          <w:trHeight w:val="1263"/>
        </w:trPr>
        <w:tc>
          <w:tcPr>
            <w:tcW w:w="2552" w:type="dxa"/>
            <w:shd w:val="clear" w:color="auto" w:fill="auto"/>
            <w:vAlign w:val="center"/>
          </w:tcPr>
          <w:p w14:paraId="182B2385" w14:textId="77777777" w:rsidR="005504B5" w:rsidRPr="001B703D" w:rsidRDefault="005504B5" w:rsidP="00EE730E">
            <w:pPr>
              <w:rPr>
                <w:rFonts w:cstheme="minorHAnsi"/>
                <w:lang w:val="en-US"/>
              </w:rPr>
            </w:pPr>
            <w:bookmarkStart w:id="0" w:name="_Hlk151707693"/>
            <w:proofErr w:type="spellStart"/>
            <w:r w:rsidRPr="001B703D">
              <w:rPr>
                <w:rFonts w:cstheme="minorHAnsi"/>
              </w:rPr>
              <w:t>Niteo</w:t>
            </w:r>
            <w:proofErr w:type="spellEnd"/>
            <w:r w:rsidRPr="001B703D">
              <w:rPr>
                <w:rFonts w:cstheme="minorHAnsi"/>
              </w:rPr>
              <w:t xml:space="preserve"> Africa Society</w:t>
            </w:r>
            <w:bookmarkEnd w:id="0"/>
          </w:p>
        </w:tc>
        <w:tc>
          <w:tcPr>
            <w:tcW w:w="6946" w:type="dxa"/>
            <w:vAlign w:val="center"/>
          </w:tcPr>
          <w:p w14:paraId="49FE5EC9"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Focused on enriching life-wide literacy communities through books, capacity-building, and reciprocal partnerships. In 2022 the Family reading program launched in Kelowna to strengthen literacy among newcomers and refugee families.</w:t>
            </w:r>
          </w:p>
        </w:tc>
        <w:tc>
          <w:tcPr>
            <w:tcW w:w="992" w:type="dxa"/>
            <w:vAlign w:val="center"/>
          </w:tcPr>
          <w:p w14:paraId="3E872B13"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$12,000</w:t>
            </w:r>
          </w:p>
        </w:tc>
      </w:tr>
      <w:tr w:rsidR="005504B5" w:rsidRPr="001B703D" w14:paraId="7F1387B2" w14:textId="77777777" w:rsidTr="00EE730E">
        <w:trPr>
          <w:trHeight w:val="2505"/>
        </w:trPr>
        <w:tc>
          <w:tcPr>
            <w:tcW w:w="2552" w:type="dxa"/>
            <w:shd w:val="clear" w:color="auto" w:fill="auto"/>
            <w:vAlign w:val="center"/>
          </w:tcPr>
          <w:p w14:paraId="38AD9FC9" w14:textId="77777777" w:rsidR="005504B5" w:rsidRPr="001B703D" w:rsidRDefault="005504B5" w:rsidP="00EE730E">
            <w:pPr>
              <w:rPr>
                <w:rFonts w:cstheme="minorHAnsi"/>
              </w:rPr>
            </w:pPr>
            <w:r w:rsidRPr="001B703D">
              <w:rPr>
                <w:rFonts w:cstheme="minorHAnsi"/>
              </w:rPr>
              <w:t>South Okanagan Immigrant and Community Services</w:t>
            </w:r>
          </w:p>
        </w:tc>
        <w:tc>
          <w:tcPr>
            <w:tcW w:w="6946" w:type="dxa"/>
            <w:vAlign w:val="center"/>
          </w:tcPr>
          <w:p w14:paraId="77D7C6F2" w14:textId="77777777" w:rsidR="005504B5"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Providing services to immigrants in the South Okanagan, the Society supports social programs, seniors to youth matching programs, English as a second language and more.</w:t>
            </w:r>
          </w:p>
          <w:p w14:paraId="2BF82574"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p>
          <w:p w14:paraId="69C1B093" w14:textId="77777777" w:rsidR="005504B5" w:rsidRPr="001B703D" w:rsidRDefault="005504B5" w:rsidP="00EE730E">
            <w:pPr>
              <w:rPr>
                <w:rFonts w:eastAsia="Times New Roman" w:cstheme="minorHAnsi"/>
                <w:shd w:val="clear" w:color="auto" w:fill="FFFFFF"/>
                <w:lang w:eastAsia="en-CA"/>
              </w:rPr>
            </w:pPr>
            <w:r w:rsidRPr="001B703D">
              <w:rPr>
                <w:rFonts w:cstheme="minorHAnsi"/>
                <w:shd w:val="clear" w:color="auto" w:fill="FFFFFF"/>
              </w:rPr>
              <w:t>With programs focused on anti-racism, the Society provides support and resources to individuals experiencing racism in our communities by documenting incidents of racism and hate using the online reporting portal, providing educational sessions and resources to community partners and individuals, and engaging the community in meaningful dialogues.</w:t>
            </w:r>
          </w:p>
        </w:tc>
        <w:tc>
          <w:tcPr>
            <w:tcW w:w="992" w:type="dxa"/>
            <w:vAlign w:val="center"/>
          </w:tcPr>
          <w:p w14:paraId="469FE4A6"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$1</w:t>
            </w:r>
            <w:r>
              <w:rPr>
                <w:rFonts w:asciiTheme="minorHAnsi" w:hAnsiTheme="minorHAnsi" w:cstheme="minorHAnsi"/>
                <w:sz w:val="22"/>
                <w:szCs w:val="22"/>
                <w:shd w:val="clear" w:color="auto" w:fill="FFFFFF"/>
              </w:rPr>
              <w:t>2</w:t>
            </w:r>
            <w:r w:rsidRPr="001B703D">
              <w:rPr>
                <w:rFonts w:asciiTheme="minorHAnsi" w:hAnsiTheme="minorHAnsi" w:cstheme="minorHAnsi"/>
                <w:sz w:val="22"/>
                <w:szCs w:val="22"/>
                <w:shd w:val="clear" w:color="auto" w:fill="FFFFFF"/>
              </w:rPr>
              <w:t>,000</w:t>
            </w:r>
          </w:p>
        </w:tc>
      </w:tr>
      <w:tr w:rsidR="005504B5" w:rsidRPr="001B703D" w14:paraId="0EA53F4F" w14:textId="77777777" w:rsidTr="00EE730E">
        <w:trPr>
          <w:trHeight w:val="1423"/>
        </w:trPr>
        <w:tc>
          <w:tcPr>
            <w:tcW w:w="2552" w:type="dxa"/>
            <w:shd w:val="clear" w:color="auto" w:fill="auto"/>
            <w:vAlign w:val="center"/>
          </w:tcPr>
          <w:p w14:paraId="2B49BE3D" w14:textId="77777777" w:rsidR="005504B5" w:rsidRPr="001B703D" w:rsidRDefault="005504B5" w:rsidP="00EE730E">
            <w:pPr>
              <w:rPr>
                <w:rFonts w:cstheme="minorHAnsi"/>
              </w:rPr>
            </w:pPr>
            <w:r w:rsidRPr="001B703D">
              <w:rPr>
                <w:rFonts w:cstheme="minorHAnsi"/>
              </w:rPr>
              <w:t xml:space="preserve">Kamloops Sexual Assault Counselling Centre </w:t>
            </w:r>
          </w:p>
        </w:tc>
        <w:tc>
          <w:tcPr>
            <w:tcW w:w="6946" w:type="dxa"/>
            <w:vAlign w:val="center"/>
          </w:tcPr>
          <w:p w14:paraId="4713E654" w14:textId="77777777" w:rsidR="005504B5"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w:t>
            </w:r>
            <w:r w:rsidRPr="00191C36">
              <w:rPr>
                <w:rFonts w:asciiTheme="minorHAnsi" w:hAnsiTheme="minorHAnsi" w:cstheme="minorHAnsi"/>
                <w:sz w:val="22"/>
                <w:szCs w:val="22"/>
                <w:shd w:val="clear" w:color="auto" w:fill="FFFFFF"/>
              </w:rPr>
              <w:t>rovide</w:t>
            </w:r>
            <w:r>
              <w:rPr>
                <w:rFonts w:asciiTheme="minorHAnsi" w:hAnsiTheme="minorHAnsi" w:cstheme="minorHAnsi"/>
                <w:sz w:val="22"/>
                <w:szCs w:val="22"/>
                <w:shd w:val="clear" w:color="auto" w:fill="FFFFFF"/>
              </w:rPr>
              <w:t>s</w:t>
            </w:r>
            <w:r w:rsidRPr="00191C36">
              <w:rPr>
                <w:rFonts w:asciiTheme="minorHAnsi" w:hAnsiTheme="minorHAnsi" w:cstheme="minorHAnsi"/>
                <w:sz w:val="22"/>
                <w:szCs w:val="22"/>
                <w:shd w:val="clear" w:color="auto" w:fill="FFFFFF"/>
              </w:rPr>
              <w:t xml:space="preserve"> free, client centered support services to survivors of sexual assault, childhood sexual abuse, domestic violence, and harassment. KSACCs service offerings include Adult Counselling, Child &amp; Youth Counselling, Community Based Victim Services, Education &amp; Outreach, and an Anti-Violence Crisis Response Program</w:t>
            </w:r>
            <w:r>
              <w:rPr>
                <w:rFonts w:asciiTheme="minorHAnsi" w:hAnsiTheme="minorHAnsi" w:cstheme="minorHAnsi"/>
                <w:sz w:val="22"/>
                <w:szCs w:val="22"/>
                <w:shd w:val="clear" w:color="auto" w:fill="FFFFFF"/>
              </w:rPr>
              <w:t>.</w:t>
            </w:r>
          </w:p>
          <w:p w14:paraId="6177F8E2" w14:textId="77777777" w:rsidR="005504B5" w:rsidRPr="00E32F8F" w:rsidRDefault="005504B5" w:rsidP="00EE730E">
            <w:pPr>
              <w:pStyle w:val="paragraph"/>
              <w:spacing w:before="0" w:beforeAutospacing="0" w:after="0" w:afterAutospacing="0"/>
              <w:textAlignment w:val="baseline"/>
              <w:rPr>
                <w:rFonts w:asciiTheme="minorHAnsi" w:hAnsiTheme="minorHAnsi" w:cstheme="minorHAnsi"/>
                <w:i/>
                <w:iCs/>
                <w:sz w:val="22"/>
                <w:szCs w:val="22"/>
                <w:shd w:val="clear" w:color="auto" w:fill="FFFFFF"/>
              </w:rPr>
            </w:pPr>
            <w:r w:rsidRPr="00E32F8F">
              <w:rPr>
                <w:rFonts w:asciiTheme="minorHAnsi" w:hAnsiTheme="minorHAnsi" w:cstheme="minorHAnsi"/>
                <w:i/>
                <w:iCs/>
                <w:sz w:val="16"/>
                <w:szCs w:val="16"/>
                <w:shd w:val="clear" w:color="auto" w:fill="FFFFFF"/>
              </w:rPr>
              <w:t>**63% of Indigenous women have faced physical or sexual assault. (Statistics Canada)</w:t>
            </w:r>
          </w:p>
        </w:tc>
        <w:tc>
          <w:tcPr>
            <w:tcW w:w="992" w:type="dxa"/>
            <w:vAlign w:val="center"/>
          </w:tcPr>
          <w:p w14:paraId="5293E42C"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$1</w:t>
            </w:r>
            <w:r>
              <w:rPr>
                <w:rFonts w:asciiTheme="minorHAnsi" w:hAnsiTheme="minorHAnsi" w:cstheme="minorHAnsi"/>
                <w:sz w:val="22"/>
                <w:szCs w:val="22"/>
                <w:shd w:val="clear" w:color="auto" w:fill="FFFFFF"/>
              </w:rPr>
              <w:t>4</w:t>
            </w:r>
            <w:r w:rsidRPr="001B703D">
              <w:rPr>
                <w:rFonts w:asciiTheme="minorHAnsi" w:hAnsiTheme="minorHAnsi" w:cstheme="minorHAnsi"/>
                <w:sz w:val="22"/>
                <w:szCs w:val="22"/>
                <w:shd w:val="clear" w:color="auto" w:fill="FFFFFF"/>
              </w:rPr>
              <w:t>,000</w:t>
            </w:r>
          </w:p>
        </w:tc>
      </w:tr>
    </w:tbl>
    <w:p w14:paraId="5256FFCD" w14:textId="3FB76014" w:rsidR="00785DCA" w:rsidRDefault="00785DCA"/>
    <w:p w14:paraId="5195A17B" w14:textId="77777777" w:rsidR="005504B5" w:rsidRPr="005504B5" w:rsidRDefault="005504B5" w:rsidP="005504B5">
      <w:pPr>
        <w:pStyle w:val="Heading2"/>
        <w:ind w:hanging="540"/>
        <w:rPr>
          <w:rStyle w:val="normaltextrun"/>
          <w:sz w:val="28"/>
          <w:szCs w:val="28"/>
        </w:rPr>
      </w:pPr>
      <w:r w:rsidRPr="005504B5">
        <w:rPr>
          <w:rStyle w:val="normaltextrun"/>
          <w:sz w:val="28"/>
          <w:szCs w:val="28"/>
        </w:rPr>
        <w:t xml:space="preserve">Keeping a Good Thing Growing </w:t>
      </w:r>
    </w:p>
    <w:tbl>
      <w:tblPr>
        <w:tblStyle w:val="TableGrid"/>
        <w:tblW w:w="10463" w:type="dxa"/>
        <w:tblInd w:w="-545" w:type="dxa"/>
        <w:tblLayout w:type="fixed"/>
        <w:tblLook w:val="04A0" w:firstRow="1" w:lastRow="0" w:firstColumn="1" w:lastColumn="0" w:noHBand="0" w:noVBand="1"/>
      </w:tblPr>
      <w:tblGrid>
        <w:gridCol w:w="2880"/>
        <w:gridCol w:w="6307"/>
        <w:gridCol w:w="1276"/>
      </w:tblGrid>
      <w:tr w:rsidR="005504B5" w14:paraId="49023600" w14:textId="77777777" w:rsidTr="005504B5">
        <w:trPr>
          <w:trHeight w:val="431"/>
        </w:trPr>
        <w:tc>
          <w:tcPr>
            <w:tcW w:w="2880" w:type="dxa"/>
            <w:shd w:val="clear" w:color="auto" w:fill="DEEAF6" w:themeFill="accent5" w:themeFillTint="33"/>
            <w:vAlign w:val="center"/>
          </w:tcPr>
          <w:p w14:paraId="7460D6E7" w14:textId="77777777" w:rsidR="005504B5" w:rsidRPr="00511420" w:rsidRDefault="005504B5" w:rsidP="00EE730E">
            <w:pPr>
              <w:rPr>
                <w:rFonts w:cstheme="minorHAnsi"/>
                <w:b/>
                <w:bCs/>
                <w:lang w:val="en-US"/>
              </w:rPr>
            </w:pPr>
            <w:r w:rsidRPr="00511420">
              <w:rPr>
                <w:rFonts w:cstheme="minorHAnsi"/>
                <w:b/>
                <w:bCs/>
                <w:lang w:val="en-US"/>
              </w:rPr>
              <w:t>Organization</w:t>
            </w:r>
          </w:p>
        </w:tc>
        <w:tc>
          <w:tcPr>
            <w:tcW w:w="6307" w:type="dxa"/>
            <w:shd w:val="clear" w:color="auto" w:fill="DEEAF6" w:themeFill="accent5" w:themeFillTint="33"/>
            <w:vAlign w:val="center"/>
          </w:tcPr>
          <w:p w14:paraId="42215959" w14:textId="77777777" w:rsidR="005504B5" w:rsidRPr="00511420" w:rsidRDefault="005504B5" w:rsidP="00EE730E">
            <w:pPr>
              <w:rPr>
                <w:rFonts w:cstheme="minorHAnsi"/>
                <w:b/>
                <w:bCs/>
                <w:lang w:val="en-US"/>
              </w:rPr>
            </w:pPr>
            <w:r w:rsidRPr="00511420">
              <w:rPr>
                <w:rFonts w:cstheme="minorHAnsi"/>
                <w:b/>
                <w:bCs/>
                <w:lang w:val="en-US"/>
              </w:rPr>
              <w:t>Organization Focus</w:t>
            </w:r>
          </w:p>
        </w:tc>
        <w:tc>
          <w:tcPr>
            <w:tcW w:w="1276" w:type="dxa"/>
            <w:shd w:val="clear" w:color="auto" w:fill="DEEAF6" w:themeFill="accent5" w:themeFillTint="33"/>
          </w:tcPr>
          <w:p w14:paraId="146D87DF" w14:textId="77777777" w:rsidR="005504B5" w:rsidRPr="00511420" w:rsidRDefault="005504B5" w:rsidP="00EE730E">
            <w:pPr>
              <w:jc w:val="center"/>
              <w:rPr>
                <w:rFonts w:cstheme="minorHAnsi"/>
                <w:b/>
                <w:bCs/>
                <w:lang w:val="en-US"/>
              </w:rPr>
            </w:pPr>
            <w:r w:rsidRPr="00511420">
              <w:rPr>
                <w:rFonts w:cstheme="minorHAnsi"/>
                <w:b/>
                <w:bCs/>
                <w:lang w:val="en-US"/>
              </w:rPr>
              <w:t>Grant Amount</w:t>
            </w:r>
          </w:p>
        </w:tc>
      </w:tr>
      <w:tr w:rsidR="005504B5" w:rsidRPr="001B703D" w14:paraId="12D5F760" w14:textId="77777777" w:rsidTr="005504B5">
        <w:trPr>
          <w:trHeight w:val="935"/>
        </w:trPr>
        <w:tc>
          <w:tcPr>
            <w:tcW w:w="2880" w:type="dxa"/>
            <w:shd w:val="clear" w:color="auto" w:fill="auto"/>
            <w:vAlign w:val="center"/>
          </w:tcPr>
          <w:p w14:paraId="74DE7C7B" w14:textId="77777777" w:rsidR="005504B5" w:rsidRPr="00A4522E" w:rsidRDefault="005504B5" w:rsidP="00EE730E">
            <w:pPr>
              <w:rPr>
                <w:rFonts w:ascii="Calibri" w:hAnsi="Calibri" w:cs="Calibri"/>
                <w:color w:val="000000"/>
              </w:rPr>
            </w:pPr>
            <w:r>
              <w:t>Modern Man Family Project</w:t>
            </w:r>
          </w:p>
        </w:tc>
        <w:tc>
          <w:tcPr>
            <w:tcW w:w="6307" w:type="dxa"/>
            <w:vAlign w:val="center"/>
          </w:tcPr>
          <w:p w14:paraId="165A7CC3" w14:textId="77777777" w:rsidR="005504B5" w:rsidRPr="001B703D" w:rsidRDefault="005504B5" w:rsidP="00EE730E">
            <w:pPr>
              <w:pStyle w:val="paragraph"/>
              <w:spacing w:before="0" w:beforeAutospacing="0" w:after="0" w:afterAutospacing="0"/>
              <w:textAlignment w:val="baseline"/>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Established in 2022 and located in Kamloops, the Project provides resources and supports to engage fathers, building their skills to enrich the lives of their children and families. The grant will provide participants with cooking skills classes, meal planning, and take-home crock pots.  </w:t>
            </w:r>
          </w:p>
        </w:tc>
        <w:tc>
          <w:tcPr>
            <w:tcW w:w="1276" w:type="dxa"/>
            <w:vAlign w:val="center"/>
          </w:tcPr>
          <w:p w14:paraId="287104E8" w14:textId="77777777" w:rsidR="005504B5" w:rsidRPr="001B703D" w:rsidRDefault="005504B5" w:rsidP="00EE730E">
            <w:pPr>
              <w:pStyle w:val="paragraph"/>
              <w:spacing w:before="0" w:beforeAutospacing="0" w:after="0" w:afterAutospacing="0"/>
              <w:jc w:val="right"/>
              <w:textAlignment w:val="baseline"/>
              <w:rPr>
                <w:rFonts w:asciiTheme="minorHAnsi" w:hAnsiTheme="minorHAnsi" w:cstheme="minorHAnsi"/>
                <w:sz w:val="22"/>
                <w:szCs w:val="22"/>
                <w:shd w:val="clear" w:color="auto" w:fill="FFFFFF"/>
              </w:rPr>
            </w:pPr>
            <w:r w:rsidRPr="001B703D">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6,248</w:t>
            </w:r>
          </w:p>
        </w:tc>
      </w:tr>
    </w:tbl>
    <w:p w14:paraId="78EDB069" w14:textId="77777777" w:rsidR="005504B5" w:rsidRDefault="005504B5"/>
    <w:sectPr w:rsidR="005504B5" w:rsidSect="005504B5">
      <w:pgSz w:w="12240" w:h="15840"/>
      <w:pgMar w:top="720"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B5"/>
    <w:rsid w:val="005504B5"/>
    <w:rsid w:val="00742B50"/>
    <w:rsid w:val="00785DCA"/>
    <w:rsid w:val="00AB1D28"/>
    <w:rsid w:val="00FD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A3F8"/>
  <w15:chartTrackingRefBased/>
  <w15:docId w15:val="{EB837F77-C3BF-42DE-9209-373192E9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B5"/>
  </w:style>
  <w:style w:type="paragraph" w:styleId="Heading1">
    <w:name w:val="heading 1"/>
    <w:basedOn w:val="Normal"/>
    <w:next w:val="Normal"/>
    <w:link w:val="Heading1Char"/>
    <w:qFormat/>
    <w:rsid w:val="005504B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550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4B5"/>
    <w:rPr>
      <w:rFonts w:asciiTheme="majorHAnsi" w:eastAsiaTheme="majorEastAsia" w:hAnsiTheme="majorHAnsi" w:cstheme="majorBidi"/>
      <w:color w:val="2F5496" w:themeColor="accent1" w:themeShade="BF"/>
      <w:sz w:val="32"/>
      <w:szCs w:val="32"/>
      <w:lang w:val="en-US"/>
    </w:rPr>
  </w:style>
  <w:style w:type="paragraph" w:customStyle="1" w:styleId="paragraph">
    <w:name w:val="paragraph"/>
    <w:basedOn w:val="Normal"/>
    <w:rsid w:val="005504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504B5"/>
  </w:style>
  <w:style w:type="table" w:styleId="TableGrid">
    <w:name w:val="Table Grid"/>
    <w:basedOn w:val="TableNormal"/>
    <w:uiPriority w:val="39"/>
    <w:rsid w:val="005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5504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5504B5"/>
  </w:style>
  <w:style w:type="paragraph" w:styleId="NormalWeb">
    <w:name w:val="Normal (Web)"/>
    <w:basedOn w:val="Normal"/>
    <w:uiPriority w:val="99"/>
    <w:unhideWhenUsed/>
    <w:rsid w:val="005504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5504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Sue-Lynda Bate</dc:creator>
  <cp:keywords/>
  <dc:description/>
  <cp:lastModifiedBy>Sue-Lynda Bate</cp:lastModifiedBy>
  <cp:revision>3</cp:revision>
  <dcterms:created xsi:type="dcterms:W3CDTF">2023-12-20T19:34:00Z</dcterms:created>
  <dcterms:modified xsi:type="dcterms:W3CDTF">2023-12-20T23:08:00Z</dcterms:modified>
</cp:coreProperties>
</file>