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C3" w:rsidRPr="00CC2AC0" w:rsidRDefault="00CC2AC0">
      <w:pPr>
        <w:rPr>
          <w:sz w:val="28"/>
        </w:rPr>
      </w:pPr>
      <w:r w:rsidRPr="00CC2AC0">
        <w:rPr>
          <w:sz w:val="28"/>
        </w:rPr>
        <w:t xml:space="preserve">Island Savings Community Endowment </w:t>
      </w:r>
    </w:p>
    <w:p w:rsidR="00CC2AC0" w:rsidRPr="00CC2AC0" w:rsidRDefault="00CC2AC0">
      <w:pPr>
        <w:rPr>
          <w:sz w:val="28"/>
        </w:rPr>
      </w:pPr>
      <w:r w:rsidRPr="00CC2AC0">
        <w:rPr>
          <w:sz w:val="28"/>
        </w:rPr>
        <w:t>2019 Grants</w:t>
      </w:r>
    </w:p>
    <w:p w:rsidR="00CC2AC0" w:rsidRDefault="00CC2AC0"/>
    <w:tbl>
      <w:tblPr>
        <w:tblStyle w:val="TableGrid"/>
        <w:tblW w:w="10065" w:type="dxa"/>
        <w:tblInd w:w="-5" w:type="dxa"/>
        <w:tblLook w:val="04A0" w:firstRow="1" w:lastRow="0" w:firstColumn="1" w:lastColumn="0" w:noHBand="0" w:noVBand="1"/>
      </w:tblPr>
      <w:tblGrid>
        <w:gridCol w:w="4536"/>
        <w:gridCol w:w="426"/>
        <w:gridCol w:w="425"/>
        <w:gridCol w:w="2693"/>
        <w:gridCol w:w="142"/>
        <w:gridCol w:w="425"/>
        <w:gridCol w:w="1418"/>
      </w:tblGrid>
      <w:tr w:rsidR="00CC2AC0" w:rsidTr="00A00691">
        <w:trPr>
          <w:trHeight w:val="627"/>
        </w:trPr>
        <w:tc>
          <w:tcPr>
            <w:tcW w:w="5387" w:type="dxa"/>
            <w:gridSpan w:val="3"/>
            <w:shd w:val="clear" w:color="auto" w:fill="auto"/>
            <w:vAlign w:val="center"/>
          </w:tcPr>
          <w:p w:rsidR="00CC2AC0" w:rsidRPr="00B10257" w:rsidRDefault="00CC2AC0" w:rsidP="00A00691">
            <w:pPr>
              <w:spacing w:after="0" w:line="240" w:lineRule="auto"/>
              <w:ind w:left="0" w:firstLine="0"/>
              <w:jc w:val="center"/>
              <w:rPr>
                <w:rFonts w:asciiTheme="minorHAnsi" w:hAnsiTheme="minorHAnsi"/>
                <w:b/>
                <w:sz w:val="28"/>
              </w:rPr>
            </w:pPr>
            <w:r w:rsidRPr="00B10257">
              <w:rPr>
                <w:rFonts w:asciiTheme="minorHAnsi" w:hAnsiTheme="minorHAnsi"/>
                <w:b/>
                <w:sz w:val="28"/>
              </w:rPr>
              <w:t>Organization Name</w:t>
            </w:r>
          </w:p>
        </w:tc>
        <w:tc>
          <w:tcPr>
            <w:tcW w:w="3260" w:type="dxa"/>
            <w:gridSpan w:val="3"/>
            <w:shd w:val="clear" w:color="auto" w:fill="auto"/>
            <w:vAlign w:val="center"/>
          </w:tcPr>
          <w:p w:rsidR="00CC2AC0" w:rsidRPr="00B10257" w:rsidRDefault="00CC2AC0" w:rsidP="00A00691">
            <w:pPr>
              <w:spacing w:after="0" w:line="240" w:lineRule="auto"/>
              <w:ind w:left="0" w:firstLine="0"/>
              <w:jc w:val="center"/>
              <w:rPr>
                <w:rFonts w:asciiTheme="minorHAnsi" w:hAnsiTheme="minorHAnsi"/>
                <w:b/>
                <w:sz w:val="28"/>
              </w:rPr>
            </w:pPr>
            <w:r w:rsidRPr="00B10257">
              <w:rPr>
                <w:rFonts w:asciiTheme="minorHAnsi" w:hAnsiTheme="minorHAnsi"/>
                <w:b/>
                <w:sz w:val="28"/>
              </w:rPr>
              <w:t>Community</w:t>
            </w:r>
          </w:p>
        </w:tc>
        <w:tc>
          <w:tcPr>
            <w:tcW w:w="1418" w:type="dxa"/>
            <w:shd w:val="clear" w:color="auto" w:fill="auto"/>
            <w:vAlign w:val="center"/>
          </w:tcPr>
          <w:p w:rsidR="00CC2AC0" w:rsidRPr="00B10257" w:rsidRDefault="00CC2AC0" w:rsidP="00A00691">
            <w:pPr>
              <w:spacing w:after="0" w:line="240" w:lineRule="auto"/>
              <w:ind w:left="0" w:firstLine="0"/>
              <w:jc w:val="center"/>
              <w:rPr>
                <w:rFonts w:asciiTheme="minorHAnsi" w:hAnsiTheme="minorHAnsi"/>
                <w:b/>
                <w:sz w:val="28"/>
              </w:rPr>
            </w:pPr>
            <w:r w:rsidRPr="00B10257">
              <w:rPr>
                <w:rFonts w:asciiTheme="minorHAnsi" w:hAnsiTheme="minorHAnsi"/>
                <w:b/>
                <w:sz w:val="28"/>
              </w:rPr>
              <w:t xml:space="preserve"> 2019 Grant </w:t>
            </w:r>
          </w:p>
        </w:tc>
      </w:tr>
      <w:tr w:rsidR="00CC2AC0" w:rsidTr="00A00691">
        <w:trPr>
          <w:trHeight w:val="462"/>
        </w:trPr>
        <w:tc>
          <w:tcPr>
            <w:tcW w:w="5387" w:type="dxa"/>
            <w:gridSpan w:val="3"/>
            <w:shd w:val="clear" w:color="auto" w:fill="DEEAF6" w:themeFill="accent1" w:themeFillTint="33"/>
            <w:vAlign w:val="center"/>
          </w:tcPr>
          <w:p w:rsidR="00CC2AC0" w:rsidRPr="00696412" w:rsidRDefault="00CC2AC0" w:rsidP="00A00691">
            <w:pPr>
              <w:tabs>
                <w:tab w:val="left" w:pos="3225"/>
              </w:tabs>
              <w:spacing w:after="0" w:line="240" w:lineRule="auto"/>
              <w:ind w:left="0" w:firstLine="0"/>
              <w:rPr>
                <w:rFonts w:asciiTheme="minorHAnsi" w:hAnsiTheme="minorHAnsi"/>
              </w:rPr>
            </w:pPr>
            <w:r w:rsidRPr="00696412">
              <w:rPr>
                <w:rFonts w:asciiTheme="minorHAnsi" w:hAnsiTheme="minorHAnsi"/>
              </w:rPr>
              <w:t>1000X5 Children's Book Recycling Project Society</w:t>
            </w:r>
          </w:p>
        </w:tc>
        <w:tc>
          <w:tcPr>
            <w:tcW w:w="3260" w:type="dxa"/>
            <w:gridSpan w:val="3"/>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rPr>
            </w:pPr>
            <w:r w:rsidRPr="00696412">
              <w:rPr>
                <w:rFonts w:asciiTheme="minorHAnsi" w:hAnsiTheme="minorHAnsi"/>
              </w:rPr>
              <w:t>Victoria</w:t>
            </w:r>
          </w:p>
        </w:tc>
        <w:tc>
          <w:tcPr>
            <w:tcW w:w="1418" w:type="dxa"/>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rPr>
            </w:pPr>
            <w:r>
              <w:rPr>
                <w:rFonts w:asciiTheme="minorHAnsi" w:hAnsiTheme="minorHAnsi"/>
              </w:rPr>
              <w:t>$5</w:t>
            </w:r>
            <w:r w:rsidRPr="00696412">
              <w:rPr>
                <w:rFonts w:asciiTheme="minorHAnsi" w:hAnsiTheme="minorHAnsi"/>
              </w:rPr>
              <w:t>,000</w:t>
            </w:r>
          </w:p>
        </w:tc>
      </w:tr>
      <w:tr w:rsidR="00CC2AC0" w:rsidTr="00A00691">
        <w:trPr>
          <w:trHeight w:val="998"/>
        </w:trPr>
        <w:tc>
          <w:tcPr>
            <w:tcW w:w="10065" w:type="dxa"/>
            <w:gridSpan w:val="7"/>
            <w:vAlign w:val="center"/>
          </w:tcPr>
          <w:p w:rsidR="00CC2AC0" w:rsidRPr="00696412" w:rsidRDefault="00CC2AC0" w:rsidP="00A00691">
            <w:pPr>
              <w:spacing w:after="0" w:line="240" w:lineRule="auto"/>
              <w:ind w:left="0" w:firstLine="0"/>
              <w:rPr>
                <w:rFonts w:asciiTheme="minorHAnsi" w:hAnsiTheme="minorHAnsi"/>
              </w:rPr>
            </w:pPr>
            <w:r w:rsidRPr="00696412">
              <w:rPr>
                <w:rFonts w:asciiTheme="minorHAnsi" w:hAnsiTheme="minorHAnsi"/>
                <w:b/>
                <w:i/>
              </w:rPr>
              <w:t>1000x 5 Children’s Books</w:t>
            </w:r>
            <w:r w:rsidRPr="00696412">
              <w:rPr>
                <w:rFonts w:asciiTheme="minorHAnsi" w:hAnsiTheme="minorHAnsi"/>
              </w:rPr>
              <w:t xml:space="preserve"> provides struggling families with resources to foster early literacy during the critical developmental stage of birth to five years old. The mission is to increase early literacy rates and therefore family literacy within our community.   </w:t>
            </w:r>
          </w:p>
        </w:tc>
      </w:tr>
      <w:tr w:rsidR="00CC2AC0" w:rsidTr="00A00691">
        <w:trPr>
          <w:trHeight w:val="403"/>
        </w:trPr>
        <w:tc>
          <w:tcPr>
            <w:tcW w:w="5387" w:type="dxa"/>
            <w:gridSpan w:val="3"/>
            <w:shd w:val="clear" w:color="auto" w:fill="DEEAF6" w:themeFill="accent1" w:themeFillTint="33"/>
            <w:vAlign w:val="center"/>
          </w:tcPr>
          <w:p w:rsidR="00CC2AC0" w:rsidRPr="00696412" w:rsidRDefault="00CC2AC0" w:rsidP="00A00691">
            <w:pPr>
              <w:spacing w:after="0" w:line="240" w:lineRule="auto"/>
              <w:ind w:left="0" w:firstLine="0"/>
              <w:rPr>
                <w:rFonts w:asciiTheme="minorHAnsi" w:eastAsia="Times New Roman" w:hAnsiTheme="minorHAnsi" w:cs="Times New Roman"/>
              </w:rPr>
            </w:pPr>
            <w:r w:rsidRPr="00696412">
              <w:rPr>
                <w:rFonts w:asciiTheme="minorHAnsi" w:hAnsiTheme="minorHAnsi"/>
              </w:rPr>
              <w:t>Board of Education of School District 64 (Gulf Island)</w:t>
            </w:r>
          </w:p>
        </w:tc>
        <w:tc>
          <w:tcPr>
            <w:tcW w:w="3260" w:type="dxa"/>
            <w:gridSpan w:val="3"/>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rPr>
            </w:pPr>
            <w:r w:rsidRPr="00696412">
              <w:rPr>
                <w:rFonts w:asciiTheme="minorHAnsi" w:hAnsiTheme="minorHAnsi"/>
              </w:rPr>
              <w:t>Salt Spring Island</w:t>
            </w:r>
          </w:p>
        </w:tc>
        <w:tc>
          <w:tcPr>
            <w:tcW w:w="1418" w:type="dxa"/>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rPr>
            </w:pPr>
            <w:r w:rsidRPr="00696412">
              <w:rPr>
                <w:rFonts w:asciiTheme="minorHAnsi" w:hAnsiTheme="minorHAnsi"/>
              </w:rPr>
              <w:t>$10,000</w:t>
            </w:r>
          </w:p>
        </w:tc>
      </w:tr>
      <w:tr w:rsidR="00CC2AC0" w:rsidTr="00A00691">
        <w:trPr>
          <w:trHeight w:val="1261"/>
        </w:trPr>
        <w:tc>
          <w:tcPr>
            <w:tcW w:w="10065" w:type="dxa"/>
            <w:gridSpan w:val="7"/>
            <w:vAlign w:val="center"/>
          </w:tcPr>
          <w:p w:rsidR="00CC2AC0" w:rsidRDefault="00CC2AC0" w:rsidP="00A00691">
            <w:pPr>
              <w:spacing w:after="0" w:line="240" w:lineRule="auto"/>
              <w:ind w:left="0" w:firstLine="0"/>
              <w:rPr>
                <w:rFonts w:asciiTheme="minorHAnsi" w:hAnsiTheme="minorHAnsi"/>
              </w:rPr>
            </w:pPr>
            <w:r w:rsidRPr="00696412">
              <w:rPr>
                <w:rFonts w:asciiTheme="minorHAnsi" w:hAnsiTheme="minorHAnsi"/>
                <w:b/>
              </w:rPr>
              <w:t>Gulf Island School Gardens Network</w:t>
            </w:r>
            <w:r w:rsidRPr="00696412">
              <w:rPr>
                <w:rFonts w:asciiTheme="minorHAnsi" w:hAnsiTheme="minorHAnsi"/>
              </w:rPr>
              <w:t xml:space="preserve"> connects with our community and enhances the sustainability of school gardening across the Gulf Islands School District. Students who learn in school gardens enjoy proven health, academic, and socio-emotional benefits. A new Gulf Islands School Gardens Activity Guide will be test-run with four classes at Salt Spring Elementary (~90 students, plus community volunteers).</w:t>
            </w:r>
          </w:p>
          <w:p w:rsidR="00CC2AC0" w:rsidRPr="00696412" w:rsidRDefault="00CC2AC0" w:rsidP="00A00691">
            <w:pPr>
              <w:spacing w:after="0" w:line="240" w:lineRule="auto"/>
              <w:ind w:left="0" w:firstLine="0"/>
              <w:jc w:val="right"/>
              <w:rPr>
                <w:rFonts w:asciiTheme="minorHAnsi" w:hAnsiTheme="minorHAnsi"/>
              </w:rPr>
            </w:pPr>
          </w:p>
        </w:tc>
      </w:tr>
      <w:tr w:rsidR="00CC2AC0" w:rsidTr="00A00691">
        <w:trPr>
          <w:trHeight w:val="556"/>
        </w:trPr>
        <w:tc>
          <w:tcPr>
            <w:tcW w:w="5387" w:type="dxa"/>
            <w:gridSpan w:val="3"/>
            <w:shd w:val="clear" w:color="auto" w:fill="DEEAF6" w:themeFill="accent1" w:themeFillTint="33"/>
            <w:vAlign w:val="center"/>
          </w:tcPr>
          <w:p w:rsidR="00CC2AC0" w:rsidRPr="00696412" w:rsidRDefault="00CC2AC0" w:rsidP="00A00691">
            <w:pPr>
              <w:spacing w:after="0" w:line="240" w:lineRule="auto"/>
              <w:ind w:left="0" w:firstLine="0"/>
              <w:rPr>
                <w:rFonts w:asciiTheme="minorHAnsi" w:eastAsia="Times New Roman" w:hAnsiTheme="minorHAnsi" w:cs="Times New Roman"/>
              </w:rPr>
            </w:pPr>
            <w:r>
              <w:rPr>
                <w:rFonts w:asciiTheme="minorHAnsi" w:eastAsia="Times New Roman" w:hAnsiTheme="minorHAnsi" w:cs="Times New Roman"/>
              </w:rPr>
              <w:t>Victoria Women’s Transition House Society</w:t>
            </w:r>
          </w:p>
        </w:tc>
        <w:tc>
          <w:tcPr>
            <w:tcW w:w="2835" w:type="dxa"/>
            <w:gridSpan w:val="2"/>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rPr>
            </w:pPr>
            <w:r>
              <w:rPr>
                <w:rFonts w:asciiTheme="minorHAnsi" w:hAnsiTheme="minorHAnsi"/>
              </w:rPr>
              <w:t>Victoria</w:t>
            </w:r>
          </w:p>
        </w:tc>
        <w:tc>
          <w:tcPr>
            <w:tcW w:w="1843" w:type="dxa"/>
            <w:gridSpan w:val="2"/>
            <w:shd w:val="clear" w:color="auto" w:fill="DEEAF6" w:themeFill="accent1" w:themeFillTint="33"/>
            <w:vAlign w:val="center"/>
          </w:tcPr>
          <w:p w:rsidR="00CC2AC0" w:rsidRPr="00696412" w:rsidRDefault="00CC2AC0" w:rsidP="00A00691">
            <w:pPr>
              <w:spacing w:after="0" w:line="240" w:lineRule="auto"/>
              <w:ind w:left="0" w:right="176" w:firstLine="0"/>
              <w:jc w:val="right"/>
              <w:rPr>
                <w:rFonts w:asciiTheme="minorHAnsi" w:hAnsiTheme="minorHAnsi"/>
              </w:rPr>
            </w:pPr>
            <w:r>
              <w:rPr>
                <w:rFonts w:asciiTheme="minorHAnsi" w:hAnsiTheme="minorHAnsi"/>
              </w:rPr>
              <w:t>$10,000</w:t>
            </w:r>
          </w:p>
        </w:tc>
      </w:tr>
      <w:tr w:rsidR="00CC2AC0" w:rsidTr="00A00691">
        <w:trPr>
          <w:trHeight w:val="1541"/>
        </w:trPr>
        <w:tc>
          <w:tcPr>
            <w:tcW w:w="10065" w:type="dxa"/>
            <w:gridSpan w:val="7"/>
            <w:vAlign w:val="center"/>
          </w:tcPr>
          <w:p w:rsidR="00CC2AC0" w:rsidRPr="002312C1" w:rsidRDefault="00CC2AC0" w:rsidP="00A00691">
            <w:pPr>
              <w:spacing w:after="0" w:line="240" w:lineRule="auto"/>
              <w:ind w:left="0" w:right="176" w:firstLine="0"/>
              <w:rPr>
                <w:rFonts w:asciiTheme="minorHAnsi" w:hAnsiTheme="minorHAnsi"/>
              </w:rPr>
            </w:pPr>
            <w:r>
              <w:rPr>
                <w:rFonts w:asciiTheme="minorHAnsi" w:hAnsiTheme="minorHAnsi"/>
                <w:b/>
              </w:rPr>
              <w:t>Women’s Drop-in Support group</w:t>
            </w:r>
            <w:r>
              <w:rPr>
                <w:rFonts w:asciiTheme="minorHAnsi" w:hAnsiTheme="minorHAnsi"/>
              </w:rPr>
              <w:t xml:space="preserve"> is a trauma-informed psycho-educational group counseling program providing immediate, facilitated, group counselling access for women recovering from the trauma of violence and domestic abuse.  The program will run for 52 weeks in partnership with YMCA-YWCA of Vancouver Island.  Women can access the group when they need support and for as long as they need support. </w:t>
            </w:r>
          </w:p>
        </w:tc>
      </w:tr>
      <w:tr w:rsidR="00CC2AC0" w:rsidTr="00A00691">
        <w:trPr>
          <w:trHeight w:val="472"/>
        </w:trPr>
        <w:tc>
          <w:tcPr>
            <w:tcW w:w="5387" w:type="dxa"/>
            <w:gridSpan w:val="3"/>
            <w:shd w:val="clear" w:color="auto" w:fill="DEEAF6" w:themeFill="accent1" w:themeFillTint="33"/>
            <w:vAlign w:val="center"/>
          </w:tcPr>
          <w:p w:rsidR="00CC2AC0" w:rsidRPr="00696412" w:rsidRDefault="00CC2AC0" w:rsidP="00A00691">
            <w:pPr>
              <w:spacing w:after="0" w:line="240" w:lineRule="auto"/>
              <w:ind w:left="3" w:firstLine="0"/>
              <w:rPr>
                <w:rFonts w:asciiTheme="minorHAnsi" w:hAnsiTheme="minorHAnsi"/>
                <w:bCs/>
              </w:rPr>
            </w:pPr>
            <w:r w:rsidRPr="00696412">
              <w:rPr>
                <w:rFonts w:asciiTheme="minorHAnsi" w:hAnsiTheme="minorHAnsi"/>
              </w:rPr>
              <w:t xml:space="preserve">Haven Society          </w:t>
            </w:r>
          </w:p>
        </w:tc>
        <w:tc>
          <w:tcPr>
            <w:tcW w:w="2835" w:type="dxa"/>
            <w:gridSpan w:val="2"/>
            <w:shd w:val="clear" w:color="auto" w:fill="DEEAF6" w:themeFill="accent1" w:themeFillTint="33"/>
            <w:vAlign w:val="center"/>
          </w:tcPr>
          <w:p w:rsidR="00CC2AC0" w:rsidRPr="00696412" w:rsidRDefault="00CC2AC0" w:rsidP="00A00691">
            <w:pPr>
              <w:spacing w:after="0" w:line="240" w:lineRule="auto"/>
              <w:ind w:left="0" w:firstLine="0"/>
              <w:jc w:val="right"/>
              <w:rPr>
                <w:rFonts w:asciiTheme="minorHAnsi" w:hAnsiTheme="minorHAnsi"/>
                <w:bCs/>
              </w:rPr>
            </w:pPr>
            <w:r w:rsidRPr="00696412">
              <w:rPr>
                <w:rFonts w:asciiTheme="minorHAnsi" w:hAnsiTheme="minorHAnsi"/>
                <w:bCs/>
              </w:rPr>
              <w:t>Nanaimo</w:t>
            </w:r>
          </w:p>
        </w:tc>
        <w:tc>
          <w:tcPr>
            <w:tcW w:w="1843" w:type="dxa"/>
            <w:gridSpan w:val="2"/>
            <w:shd w:val="clear" w:color="auto" w:fill="DEEAF6" w:themeFill="accent1" w:themeFillTint="33"/>
            <w:vAlign w:val="center"/>
          </w:tcPr>
          <w:p w:rsidR="00CC2AC0" w:rsidRPr="00696412" w:rsidRDefault="00CC2AC0" w:rsidP="00A00691">
            <w:pPr>
              <w:spacing w:after="0" w:line="240" w:lineRule="auto"/>
              <w:ind w:left="0" w:right="176" w:firstLine="0"/>
              <w:jc w:val="right"/>
              <w:rPr>
                <w:rFonts w:asciiTheme="minorHAnsi" w:hAnsiTheme="minorHAnsi"/>
                <w:bCs/>
              </w:rPr>
            </w:pPr>
            <w:r w:rsidRPr="00696412">
              <w:rPr>
                <w:rFonts w:asciiTheme="minorHAnsi" w:hAnsiTheme="minorHAnsi"/>
                <w:bCs/>
              </w:rPr>
              <w:t>$8,300</w:t>
            </w:r>
          </w:p>
        </w:tc>
      </w:tr>
      <w:tr w:rsidR="00CC2AC0" w:rsidTr="00A00691">
        <w:trPr>
          <w:trHeight w:val="1415"/>
        </w:trPr>
        <w:tc>
          <w:tcPr>
            <w:tcW w:w="10065" w:type="dxa"/>
            <w:gridSpan w:val="7"/>
            <w:vAlign w:val="center"/>
          </w:tcPr>
          <w:p w:rsidR="00CC2AC0" w:rsidRPr="00696412" w:rsidRDefault="00CC2AC0" w:rsidP="00A00691">
            <w:pPr>
              <w:spacing w:after="0" w:line="240" w:lineRule="auto"/>
              <w:ind w:left="0" w:right="176" w:firstLine="0"/>
              <w:rPr>
                <w:rFonts w:asciiTheme="minorHAnsi" w:hAnsiTheme="minorHAnsi"/>
                <w:b/>
                <w:bCs/>
              </w:rPr>
            </w:pPr>
            <w:r w:rsidRPr="00696412">
              <w:rPr>
                <w:rFonts w:asciiTheme="minorHAnsi" w:hAnsiTheme="minorHAnsi"/>
              </w:rPr>
              <w:t xml:space="preserve">Haven Society’s </w:t>
            </w:r>
            <w:r w:rsidRPr="00CE0A11">
              <w:rPr>
                <w:rFonts w:asciiTheme="minorHAnsi" w:hAnsiTheme="minorHAnsi"/>
                <w:b/>
              </w:rPr>
              <w:t>Outreach Program</w:t>
            </w:r>
            <w:r w:rsidRPr="00696412">
              <w:rPr>
                <w:rFonts w:asciiTheme="minorHAnsi" w:hAnsiTheme="minorHAnsi"/>
              </w:rPr>
              <w:t xml:space="preserve"> will develop</w:t>
            </w:r>
            <w:r>
              <w:rPr>
                <w:rFonts w:asciiTheme="minorHAnsi" w:hAnsiTheme="minorHAnsi"/>
              </w:rPr>
              <w:t xml:space="preserve"> and pilot l</w:t>
            </w:r>
            <w:r w:rsidRPr="00696412">
              <w:rPr>
                <w:rFonts w:asciiTheme="minorHAnsi" w:hAnsiTheme="minorHAnsi"/>
              </w:rPr>
              <w:t xml:space="preserve">ife </w:t>
            </w:r>
            <w:r>
              <w:rPr>
                <w:rFonts w:asciiTheme="minorHAnsi" w:hAnsiTheme="minorHAnsi"/>
              </w:rPr>
              <w:t>s</w:t>
            </w:r>
            <w:r w:rsidRPr="00696412">
              <w:rPr>
                <w:rFonts w:asciiTheme="minorHAnsi" w:hAnsiTheme="minorHAnsi"/>
              </w:rPr>
              <w:t>kills modules tailored for the needs of its clients: women in Central Vancouver Island who have experienced gender-based violence and who are homeless or at-risk of homelessness. A complex set of life skills is necessary for daily functioning, social inclusion, and housing stability.</w:t>
            </w:r>
          </w:p>
        </w:tc>
      </w:tr>
      <w:tr w:rsidR="00CC2AC0" w:rsidTr="00A00691">
        <w:trPr>
          <w:trHeight w:val="523"/>
        </w:trPr>
        <w:tc>
          <w:tcPr>
            <w:tcW w:w="5387" w:type="dxa"/>
            <w:gridSpan w:val="3"/>
            <w:shd w:val="clear" w:color="auto" w:fill="DEEAF6" w:themeFill="accent1" w:themeFillTint="33"/>
            <w:vAlign w:val="center"/>
          </w:tcPr>
          <w:p w:rsidR="00CC2AC0" w:rsidRPr="003B3338" w:rsidRDefault="00CC2AC0" w:rsidP="00A00691">
            <w:pPr>
              <w:spacing w:after="0" w:line="240" w:lineRule="auto"/>
              <w:ind w:left="0" w:firstLine="0"/>
              <w:rPr>
                <w:rFonts w:eastAsia="Times New Roman" w:cs="Times New Roman"/>
              </w:rPr>
            </w:pPr>
            <w:r>
              <w:t>Island Sexual Health Society</w:t>
            </w:r>
          </w:p>
        </w:tc>
        <w:tc>
          <w:tcPr>
            <w:tcW w:w="2835" w:type="dxa"/>
            <w:gridSpan w:val="2"/>
            <w:shd w:val="clear" w:color="auto" w:fill="DEEAF6" w:themeFill="accent1" w:themeFillTint="33"/>
            <w:vAlign w:val="center"/>
          </w:tcPr>
          <w:p w:rsidR="00CC2AC0" w:rsidRPr="003B3338" w:rsidRDefault="00CC2AC0" w:rsidP="00A00691">
            <w:pPr>
              <w:spacing w:after="0" w:line="240" w:lineRule="auto"/>
              <w:ind w:left="0" w:firstLine="0"/>
              <w:jc w:val="right"/>
              <w:rPr>
                <w:rFonts w:asciiTheme="minorHAnsi" w:hAnsiTheme="minorHAnsi"/>
                <w:bCs/>
              </w:rPr>
            </w:pPr>
            <w:r w:rsidRPr="003B3338">
              <w:rPr>
                <w:rFonts w:asciiTheme="minorHAnsi" w:hAnsiTheme="minorHAnsi"/>
                <w:bCs/>
              </w:rPr>
              <w:t>Victoria</w:t>
            </w:r>
          </w:p>
        </w:tc>
        <w:tc>
          <w:tcPr>
            <w:tcW w:w="1843" w:type="dxa"/>
            <w:gridSpan w:val="2"/>
            <w:shd w:val="clear" w:color="auto" w:fill="DEEAF6" w:themeFill="accent1" w:themeFillTint="33"/>
            <w:vAlign w:val="center"/>
          </w:tcPr>
          <w:p w:rsidR="00CC2AC0" w:rsidRPr="003B3338" w:rsidRDefault="00CC2AC0" w:rsidP="00A00691">
            <w:pPr>
              <w:spacing w:after="0" w:line="240" w:lineRule="auto"/>
              <w:ind w:left="0" w:right="176" w:firstLine="0"/>
              <w:jc w:val="right"/>
              <w:rPr>
                <w:rFonts w:asciiTheme="minorHAnsi" w:hAnsiTheme="minorHAnsi"/>
                <w:bCs/>
              </w:rPr>
            </w:pPr>
            <w:r w:rsidRPr="003B3338">
              <w:rPr>
                <w:rFonts w:asciiTheme="minorHAnsi" w:hAnsiTheme="minorHAnsi"/>
                <w:bCs/>
              </w:rPr>
              <w:t>$5,000</w:t>
            </w:r>
          </w:p>
        </w:tc>
      </w:tr>
      <w:tr w:rsidR="00CC2AC0" w:rsidTr="00A00691">
        <w:trPr>
          <w:trHeight w:val="1938"/>
        </w:trPr>
        <w:tc>
          <w:tcPr>
            <w:tcW w:w="10065" w:type="dxa"/>
            <w:gridSpan w:val="7"/>
            <w:vAlign w:val="center"/>
          </w:tcPr>
          <w:p w:rsidR="00CC2AC0" w:rsidRPr="00DA4549" w:rsidRDefault="00CC2AC0" w:rsidP="00A00691">
            <w:pPr>
              <w:spacing w:after="0" w:line="240" w:lineRule="auto"/>
              <w:ind w:left="0" w:right="176" w:firstLine="0"/>
              <w:rPr>
                <w:rFonts w:asciiTheme="minorHAnsi" w:hAnsiTheme="minorHAnsi"/>
                <w:b/>
                <w:bCs/>
              </w:rPr>
            </w:pPr>
            <w:r w:rsidRPr="00DA4549">
              <w:rPr>
                <w:rFonts w:asciiTheme="minorHAnsi" w:hAnsiTheme="minorHAnsi"/>
                <w:b/>
              </w:rPr>
              <w:t>Island Sexual Health Society</w:t>
            </w:r>
            <w:r w:rsidRPr="00DA4549">
              <w:rPr>
                <w:rFonts w:asciiTheme="minorHAnsi" w:hAnsiTheme="minorHAnsi"/>
              </w:rPr>
              <w:t xml:space="preserve"> provides programs </w:t>
            </w:r>
            <w:r>
              <w:rPr>
                <w:rFonts w:asciiTheme="minorHAnsi" w:hAnsiTheme="minorHAnsi"/>
              </w:rPr>
              <w:t xml:space="preserve">for </w:t>
            </w:r>
            <w:r w:rsidRPr="00DA4549">
              <w:rPr>
                <w:rFonts w:asciiTheme="minorHAnsi" w:hAnsiTheme="minorHAnsi"/>
              </w:rPr>
              <w:t>youth ag</w:t>
            </w:r>
            <w:r>
              <w:rPr>
                <w:rFonts w:asciiTheme="minorHAnsi" w:hAnsiTheme="minorHAnsi"/>
              </w:rPr>
              <w:t xml:space="preserve">ed 15 to 24 in Greater Victoria.  Youth served face multiple barriers including </w:t>
            </w:r>
            <w:bookmarkStart w:id="0" w:name="_GoBack"/>
            <w:bookmarkEnd w:id="0"/>
            <w:r>
              <w:rPr>
                <w:rFonts w:asciiTheme="minorHAnsi" w:hAnsiTheme="minorHAnsi"/>
              </w:rPr>
              <w:t xml:space="preserve">lack of housing, employment and community services, thus increasing a likelihood in early sexual activity, pregnancy, sexual abuse and health complications.  </w:t>
            </w:r>
            <w:r w:rsidRPr="00DA4549">
              <w:rPr>
                <w:rFonts w:asciiTheme="minorHAnsi" w:hAnsiTheme="minorHAnsi"/>
              </w:rPr>
              <w:t xml:space="preserve">Reducing health inequalities through the delivery of quality education programming helps give everyone the same opportunities to be healthy, no matter who they are, where </w:t>
            </w:r>
            <w:r>
              <w:rPr>
                <w:rFonts w:asciiTheme="minorHAnsi" w:hAnsiTheme="minorHAnsi"/>
              </w:rPr>
              <w:t>they</w:t>
            </w:r>
            <w:r w:rsidRPr="00DA4549">
              <w:rPr>
                <w:rFonts w:asciiTheme="minorHAnsi" w:hAnsiTheme="minorHAnsi"/>
              </w:rPr>
              <w:t xml:space="preserve"> liv</w:t>
            </w:r>
            <w:r>
              <w:rPr>
                <w:rFonts w:asciiTheme="minorHAnsi" w:hAnsiTheme="minorHAnsi"/>
              </w:rPr>
              <w:t>e and what circumstances may be in.</w:t>
            </w:r>
          </w:p>
        </w:tc>
      </w:tr>
      <w:tr w:rsidR="00CC2AC0" w:rsidTr="00A00691">
        <w:trPr>
          <w:trHeight w:val="541"/>
        </w:trPr>
        <w:tc>
          <w:tcPr>
            <w:tcW w:w="4962" w:type="dxa"/>
            <w:gridSpan w:val="2"/>
            <w:shd w:val="clear" w:color="auto" w:fill="DEEAF6" w:themeFill="accent1" w:themeFillTint="33"/>
            <w:vAlign w:val="center"/>
          </w:tcPr>
          <w:p w:rsidR="00CC2AC0" w:rsidRPr="003B3338" w:rsidRDefault="00CC2AC0" w:rsidP="00A00691">
            <w:pPr>
              <w:spacing w:after="0" w:line="240" w:lineRule="auto"/>
              <w:ind w:left="0" w:firstLine="0"/>
              <w:rPr>
                <w:rFonts w:eastAsia="Times New Roman" w:cs="Times New Roman"/>
              </w:rPr>
            </w:pPr>
            <w:r>
              <w:t>Ladysmith Family and Friends Society</w:t>
            </w:r>
          </w:p>
        </w:tc>
        <w:tc>
          <w:tcPr>
            <w:tcW w:w="3260" w:type="dxa"/>
            <w:gridSpan w:val="3"/>
            <w:shd w:val="clear" w:color="auto" w:fill="DEEAF6" w:themeFill="accent1" w:themeFillTint="33"/>
            <w:vAlign w:val="center"/>
          </w:tcPr>
          <w:p w:rsidR="00CC2AC0" w:rsidRPr="003B3338" w:rsidRDefault="00CC2AC0" w:rsidP="00A00691">
            <w:pPr>
              <w:spacing w:after="0" w:line="240" w:lineRule="auto"/>
              <w:ind w:left="0" w:firstLine="0"/>
              <w:jc w:val="right"/>
              <w:rPr>
                <w:rFonts w:asciiTheme="minorHAnsi" w:hAnsiTheme="minorHAnsi"/>
                <w:bCs/>
              </w:rPr>
            </w:pPr>
            <w:r>
              <w:rPr>
                <w:rFonts w:asciiTheme="minorHAnsi" w:hAnsiTheme="minorHAnsi"/>
                <w:bCs/>
              </w:rPr>
              <w:t>Ladysmith</w:t>
            </w:r>
          </w:p>
        </w:tc>
        <w:tc>
          <w:tcPr>
            <w:tcW w:w="1843" w:type="dxa"/>
            <w:gridSpan w:val="2"/>
            <w:shd w:val="clear" w:color="auto" w:fill="DEEAF6" w:themeFill="accent1" w:themeFillTint="33"/>
            <w:vAlign w:val="center"/>
          </w:tcPr>
          <w:p w:rsidR="00CC2AC0" w:rsidRPr="003B3338" w:rsidRDefault="00CC2AC0" w:rsidP="00A00691">
            <w:pPr>
              <w:spacing w:after="0" w:line="240" w:lineRule="auto"/>
              <w:ind w:left="0" w:right="176" w:firstLine="0"/>
              <w:jc w:val="right"/>
              <w:rPr>
                <w:rFonts w:asciiTheme="minorHAnsi" w:hAnsiTheme="minorHAnsi"/>
                <w:bCs/>
              </w:rPr>
            </w:pPr>
            <w:r w:rsidRPr="003B3338">
              <w:rPr>
                <w:rFonts w:asciiTheme="minorHAnsi" w:hAnsiTheme="minorHAnsi"/>
                <w:bCs/>
              </w:rPr>
              <w:t>$6,000</w:t>
            </w:r>
          </w:p>
        </w:tc>
      </w:tr>
      <w:tr w:rsidR="00CC2AC0" w:rsidTr="00A00691">
        <w:trPr>
          <w:trHeight w:val="1381"/>
        </w:trPr>
        <w:tc>
          <w:tcPr>
            <w:tcW w:w="10065" w:type="dxa"/>
            <w:gridSpan w:val="7"/>
            <w:vAlign w:val="center"/>
          </w:tcPr>
          <w:p w:rsidR="00CC2AC0" w:rsidRPr="00DA4549" w:rsidRDefault="00CC2AC0" w:rsidP="00A00691">
            <w:pPr>
              <w:spacing w:after="0" w:line="240" w:lineRule="auto"/>
              <w:ind w:left="0" w:right="176" w:firstLine="0"/>
              <w:rPr>
                <w:rFonts w:asciiTheme="minorHAnsi" w:hAnsiTheme="minorHAnsi"/>
                <w:b/>
                <w:bCs/>
              </w:rPr>
            </w:pPr>
            <w:r w:rsidRPr="00DA4549">
              <w:rPr>
                <w:rFonts w:asciiTheme="minorHAnsi" w:hAnsiTheme="minorHAnsi"/>
                <w:b/>
              </w:rPr>
              <w:lastRenderedPageBreak/>
              <w:t>Healthy Bodies, Healthy Hearts</w:t>
            </w:r>
            <w:r w:rsidRPr="00DA4549">
              <w:rPr>
                <w:rFonts w:asciiTheme="minorHAnsi" w:hAnsiTheme="minorHAnsi"/>
              </w:rPr>
              <w:t xml:space="preserve"> provides 500 families, with children ages 0-6, regular healthy meals and snacks to share together, opportunities to learn about healthy eating habits and </w:t>
            </w:r>
            <w:r>
              <w:rPr>
                <w:rFonts w:asciiTheme="minorHAnsi" w:hAnsiTheme="minorHAnsi"/>
              </w:rPr>
              <w:t xml:space="preserve">to </w:t>
            </w:r>
            <w:r w:rsidRPr="00DA4549">
              <w:rPr>
                <w:rFonts w:asciiTheme="minorHAnsi" w:hAnsiTheme="minorHAnsi"/>
              </w:rPr>
              <w:t>participate in fun food preparation</w:t>
            </w:r>
            <w:r>
              <w:rPr>
                <w:rFonts w:asciiTheme="minorHAnsi" w:hAnsiTheme="minorHAnsi"/>
              </w:rPr>
              <w:t xml:space="preserve">.  Programming </w:t>
            </w:r>
            <w:r w:rsidRPr="00DA4549">
              <w:rPr>
                <w:rFonts w:asciiTheme="minorHAnsi" w:hAnsiTheme="minorHAnsi"/>
              </w:rPr>
              <w:t xml:space="preserve">provides vulnerable families with healthy take home meals and reduces barriers to </w:t>
            </w:r>
            <w:proofErr w:type="spellStart"/>
            <w:r w:rsidRPr="00DA4549">
              <w:rPr>
                <w:rFonts w:asciiTheme="minorHAnsi" w:hAnsiTheme="minorHAnsi"/>
              </w:rPr>
              <w:t>LaFF</w:t>
            </w:r>
            <w:proofErr w:type="spellEnd"/>
            <w:r w:rsidRPr="00DA4549">
              <w:rPr>
                <w:rFonts w:asciiTheme="minorHAnsi" w:hAnsiTheme="minorHAnsi"/>
              </w:rPr>
              <w:t xml:space="preserve"> attendance, leading to better physical and mental health outcomes over the course of their lifetime. </w:t>
            </w:r>
          </w:p>
        </w:tc>
      </w:tr>
      <w:tr w:rsidR="00CC2AC0" w:rsidTr="00A00691">
        <w:trPr>
          <w:trHeight w:val="522"/>
        </w:trPr>
        <w:tc>
          <w:tcPr>
            <w:tcW w:w="4962" w:type="dxa"/>
            <w:gridSpan w:val="2"/>
            <w:shd w:val="clear" w:color="auto" w:fill="DEEAF6" w:themeFill="accent1" w:themeFillTint="33"/>
            <w:vAlign w:val="center"/>
          </w:tcPr>
          <w:p w:rsidR="00CC2AC0" w:rsidRPr="006D5E92" w:rsidRDefault="00CC2AC0" w:rsidP="00A00691">
            <w:pPr>
              <w:spacing w:after="0" w:line="240" w:lineRule="auto"/>
              <w:ind w:left="0" w:firstLine="0"/>
              <w:rPr>
                <w:rFonts w:asciiTheme="minorHAnsi" w:hAnsiTheme="minorHAnsi"/>
                <w:bCs/>
              </w:rPr>
            </w:pPr>
            <w:r w:rsidRPr="006D5E92">
              <w:rPr>
                <w:rFonts w:asciiTheme="minorHAnsi" w:hAnsiTheme="minorHAnsi"/>
                <w:bCs/>
              </w:rPr>
              <w:t>Ladysmith Resources Centre Association</w:t>
            </w:r>
          </w:p>
        </w:tc>
        <w:tc>
          <w:tcPr>
            <w:tcW w:w="3260"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Ladysmith</w:t>
            </w:r>
          </w:p>
        </w:tc>
        <w:tc>
          <w:tcPr>
            <w:tcW w:w="1843" w:type="dxa"/>
            <w:gridSpan w:val="2"/>
            <w:shd w:val="clear" w:color="auto" w:fill="DEEAF6" w:themeFill="accent1" w:themeFillTint="33"/>
            <w:vAlign w:val="center"/>
          </w:tcPr>
          <w:p w:rsidR="00CC2AC0" w:rsidRPr="006D5E92" w:rsidRDefault="00CC2AC0" w:rsidP="00A00691">
            <w:pPr>
              <w:spacing w:after="0" w:line="240" w:lineRule="auto"/>
              <w:ind w:left="0" w:right="176" w:firstLine="0"/>
              <w:jc w:val="right"/>
              <w:rPr>
                <w:rFonts w:asciiTheme="minorHAnsi" w:hAnsiTheme="minorHAnsi"/>
                <w:bCs/>
              </w:rPr>
            </w:pPr>
            <w:r>
              <w:rPr>
                <w:rFonts w:asciiTheme="minorHAnsi" w:hAnsiTheme="minorHAnsi"/>
                <w:bCs/>
              </w:rPr>
              <w:t>$2</w:t>
            </w:r>
            <w:r w:rsidRPr="006D5E92">
              <w:rPr>
                <w:rFonts w:asciiTheme="minorHAnsi" w:hAnsiTheme="minorHAnsi"/>
                <w:bCs/>
              </w:rPr>
              <w:t>,000</w:t>
            </w:r>
          </w:p>
        </w:tc>
      </w:tr>
      <w:tr w:rsidR="00CC2AC0" w:rsidTr="00A00691">
        <w:trPr>
          <w:trHeight w:val="1408"/>
        </w:trPr>
        <w:tc>
          <w:tcPr>
            <w:tcW w:w="10065" w:type="dxa"/>
            <w:gridSpan w:val="7"/>
            <w:vAlign w:val="center"/>
          </w:tcPr>
          <w:p w:rsidR="00CC2AC0" w:rsidRPr="00DA4549" w:rsidRDefault="00CC2AC0" w:rsidP="00A00691">
            <w:pPr>
              <w:spacing w:after="0" w:line="240" w:lineRule="auto"/>
              <w:ind w:left="0" w:right="176" w:firstLine="0"/>
              <w:rPr>
                <w:rFonts w:asciiTheme="minorHAnsi" w:hAnsiTheme="minorHAnsi"/>
                <w:b/>
                <w:bCs/>
              </w:rPr>
            </w:pPr>
            <w:r w:rsidRPr="00DA4549">
              <w:rPr>
                <w:rFonts w:asciiTheme="minorHAnsi" w:hAnsiTheme="minorHAnsi"/>
                <w:b/>
              </w:rPr>
              <w:t>Food Skills for Families</w:t>
            </w:r>
            <w:r>
              <w:rPr>
                <w:rFonts w:asciiTheme="minorHAnsi" w:hAnsiTheme="minorHAnsi"/>
              </w:rPr>
              <w:t xml:space="preserve"> begins in </w:t>
            </w:r>
            <w:r>
              <w:t>October 2019, January and March 2020. Each program invites twelve participants to learn about making healthy food choices through classroom work and hands-on cooking. The curriculum is evidence-based and is developed by specialists and dietitians based on information provided by the Canada Food Guide. Food Skills for Families is delivered to five target populations: Low Income, Newcomers, Punjabi, Indigenous and active Seniors.</w:t>
            </w:r>
          </w:p>
        </w:tc>
      </w:tr>
      <w:tr w:rsidR="00CC2AC0" w:rsidTr="00A00691">
        <w:trPr>
          <w:trHeight w:val="480"/>
        </w:trPr>
        <w:tc>
          <w:tcPr>
            <w:tcW w:w="4962" w:type="dxa"/>
            <w:gridSpan w:val="2"/>
            <w:shd w:val="clear" w:color="auto" w:fill="DEEAF6" w:themeFill="accent1" w:themeFillTint="33"/>
            <w:vAlign w:val="center"/>
          </w:tcPr>
          <w:p w:rsidR="00CC2AC0" w:rsidRPr="006D5E92" w:rsidRDefault="00CC2AC0" w:rsidP="00A00691">
            <w:pPr>
              <w:spacing w:after="0" w:line="240" w:lineRule="auto"/>
              <w:ind w:left="3" w:right="110" w:firstLine="0"/>
              <w:rPr>
                <w:rFonts w:asciiTheme="minorHAnsi" w:hAnsiTheme="minorHAnsi"/>
              </w:rPr>
            </w:pPr>
            <w:r w:rsidRPr="006D5E92">
              <w:rPr>
                <w:rFonts w:asciiTheme="minorHAnsi" w:hAnsiTheme="minorHAnsi"/>
              </w:rPr>
              <w:t>SeaChange Marine Conse</w:t>
            </w:r>
            <w:r>
              <w:rPr>
                <w:rFonts w:asciiTheme="minorHAnsi" w:hAnsiTheme="minorHAnsi"/>
              </w:rPr>
              <w:t xml:space="preserve">rvation Society </w:t>
            </w:r>
          </w:p>
        </w:tc>
        <w:tc>
          <w:tcPr>
            <w:tcW w:w="3260"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Brentwood Bay</w:t>
            </w:r>
          </w:p>
        </w:tc>
        <w:tc>
          <w:tcPr>
            <w:tcW w:w="1843" w:type="dxa"/>
            <w:gridSpan w:val="2"/>
            <w:shd w:val="clear" w:color="auto" w:fill="DEEAF6" w:themeFill="accent1" w:themeFillTint="33"/>
            <w:vAlign w:val="center"/>
          </w:tcPr>
          <w:p w:rsidR="00CC2AC0" w:rsidRPr="00DA4549" w:rsidRDefault="00CC2AC0" w:rsidP="00A00691">
            <w:pPr>
              <w:spacing w:after="0" w:line="240" w:lineRule="auto"/>
              <w:ind w:left="0" w:right="176" w:firstLine="0"/>
              <w:jc w:val="right"/>
              <w:rPr>
                <w:rFonts w:asciiTheme="minorHAnsi" w:hAnsiTheme="minorHAnsi"/>
                <w:b/>
                <w:bCs/>
              </w:rPr>
            </w:pPr>
            <w:r>
              <w:rPr>
                <w:rFonts w:asciiTheme="minorHAnsi" w:hAnsiTheme="minorHAnsi"/>
              </w:rPr>
              <w:t>$5,000</w:t>
            </w:r>
          </w:p>
        </w:tc>
      </w:tr>
      <w:tr w:rsidR="00CC2AC0" w:rsidTr="00A00691">
        <w:trPr>
          <w:trHeight w:val="1746"/>
        </w:trPr>
        <w:tc>
          <w:tcPr>
            <w:tcW w:w="10065" w:type="dxa"/>
            <w:gridSpan w:val="7"/>
            <w:vAlign w:val="center"/>
          </w:tcPr>
          <w:p w:rsidR="00CC2AC0" w:rsidRPr="00DA4549" w:rsidRDefault="00CC2AC0" w:rsidP="00A00691">
            <w:pPr>
              <w:spacing w:after="0" w:line="240" w:lineRule="auto"/>
              <w:ind w:left="0" w:right="176" w:firstLine="0"/>
              <w:rPr>
                <w:rFonts w:asciiTheme="minorHAnsi" w:hAnsiTheme="minorHAnsi"/>
                <w:b/>
                <w:bCs/>
              </w:rPr>
            </w:pPr>
            <w:proofErr w:type="spellStart"/>
            <w:r w:rsidRPr="00DA4549">
              <w:rPr>
                <w:rFonts w:asciiTheme="minorHAnsi" w:hAnsiTheme="minorHAnsi"/>
                <w:b/>
                <w:bCs/>
              </w:rPr>
              <w:t>EcoRowing</w:t>
            </w:r>
            <w:proofErr w:type="spellEnd"/>
            <w:r w:rsidRPr="00DA4549">
              <w:rPr>
                <w:rFonts w:asciiTheme="minorHAnsi" w:hAnsiTheme="minorHAnsi"/>
                <w:b/>
                <w:bCs/>
              </w:rPr>
              <w:t xml:space="preserve"> in The Place of Blue Grouse</w:t>
            </w:r>
            <w:r w:rsidRPr="00DA4549">
              <w:rPr>
                <w:rFonts w:asciiTheme="minorHAnsi" w:hAnsiTheme="minorHAnsi"/>
                <w:bCs/>
              </w:rPr>
              <w:t xml:space="preserve"> - SeaChange forges partnerships with local First Nations, non-profit organizations, local, provincial and federal governments, and community groups dedicated to the conservation and restoration of nearshore marine environments. In the fall of 2019 and spring of 2020 </w:t>
            </w:r>
            <w:r>
              <w:rPr>
                <w:rFonts w:asciiTheme="minorHAnsi" w:hAnsiTheme="minorHAnsi"/>
                <w:bCs/>
              </w:rPr>
              <w:t>it</w:t>
            </w:r>
            <w:r w:rsidRPr="00DA4549">
              <w:rPr>
                <w:rFonts w:asciiTheme="minorHAnsi" w:hAnsiTheme="minorHAnsi"/>
                <w:bCs/>
              </w:rPr>
              <w:t xml:space="preserve"> will </w:t>
            </w:r>
            <w:r>
              <w:rPr>
                <w:rFonts w:asciiTheme="minorHAnsi" w:hAnsiTheme="minorHAnsi"/>
                <w:bCs/>
              </w:rPr>
              <w:t xml:space="preserve">deliver </w:t>
            </w:r>
            <w:r w:rsidRPr="00DA4549">
              <w:rPr>
                <w:rFonts w:asciiTheme="minorHAnsi" w:hAnsiTheme="minorHAnsi"/>
                <w:bCs/>
              </w:rPr>
              <w:t xml:space="preserve">“hands on, feet wet” outdoor environmental </w:t>
            </w:r>
            <w:r>
              <w:rPr>
                <w:rFonts w:asciiTheme="minorHAnsi" w:hAnsiTheme="minorHAnsi"/>
                <w:bCs/>
              </w:rPr>
              <w:t>education</w:t>
            </w:r>
            <w:r w:rsidRPr="00DA4549">
              <w:rPr>
                <w:rFonts w:asciiTheme="minorHAnsi" w:hAnsiTheme="minorHAnsi"/>
                <w:bCs/>
              </w:rPr>
              <w:t xml:space="preserve"> to a minimum of 32 elementary, middle and high school classes (grades 4 –12) from the Greater Victoria School Districts #61, #63 and the </w:t>
            </w:r>
            <w:r w:rsidRPr="00DA4549">
              <w:rPr>
                <w:rFonts w:asciiTheme="minorHAnsi" w:hAnsiTheme="minorHAnsi"/>
                <w:shd w:val="clear" w:color="auto" w:fill="FFFFFF"/>
              </w:rPr>
              <w:t>ȽÁU, WELṈEW̱ </w:t>
            </w:r>
            <w:r w:rsidRPr="00DA4549">
              <w:rPr>
                <w:rFonts w:asciiTheme="minorHAnsi" w:hAnsiTheme="minorHAnsi"/>
                <w:bCs/>
              </w:rPr>
              <w:t xml:space="preserve">Tribal School in Brentwood Bay.   </w:t>
            </w:r>
          </w:p>
        </w:tc>
      </w:tr>
      <w:tr w:rsidR="00CC2AC0" w:rsidTr="00A00691">
        <w:trPr>
          <w:trHeight w:val="381"/>
        </w:trPr>
        <w:tc>
          <w:tcPr>
            <w:tcW w:w="4536" w:type="dxa"/>
            <w:shd w:val="clear" w:color="auto" w:fill="DEEAF6" w:themeFill="accent1" w:themeFillTint="33"/>
            <w:vAlign w:val="center"/>
          </w:tcPr>
          <w:p w:rsidR="00CC2AC0" w:rsidRPr="006D5E92" w:rsidRDefault="00CC2AC0" w:rsidP="00A00691">
            <w:pPr>
              <w:spacing w:after="0" w:line="240" w:lineRule="auto"/>
              <w:ind w:left="0" w:firstLine="0"/>
              <w:rPr>
                <w:rFonts w:asciiTheme="minorHAnsi" w:hAnsiTheme="minorHAnsi"/>
                <w:bCs/>
              </w:rPr>
            </w:pPr>
            <w:r w:rsidRPr="006D5E92">
              <w:rPr>
                <w:rFonts w:asciiTheme="minorHAnsi" w:hAnsiTheme="minorHAnsi"/>
              </w:rPr>
              <w:t>John Howard Society</w:t>
            </w:r>
          </w:p>
        </w:tc>
        <w:tc>
          <w:tcPr>
            <w:tcW w:w="3544"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rPr>
              <w:t>Nanaimo</w:t>
            </w:r>
          </w:p>
        </w:tc>
        <w:tc>
          <w:tcPr>
            <w:tcW w:w="1985" w:type="dxa"/>
            <w:gridSpan w:val="3"/>
            <w:shd w:val="clear" w:color="auto" w:fill="DEEAF6" w:themeFill="accent1" w:themeFillTint="33"/>
            <w:vAlign w:val="center"/>
          </w:tcPr>
          <w:p w:rsidR="00CC2AC0" w:rsidRPr="006D5E92" w:rsidRDefault="00CC2AC0" w:rsidP="00A00691">
            <w:pPr>
              <w:spacing w:after="0" w:line="240" w:lineRule="auto"/>
              <w:ind w:left="0" w:right="34" w:firstLine="0"/>
              <w:jc w:val="right"/>
              <w:rPr>
                <w:rFonts w:asciiTheme="minorHAnsi" w:hAnsiTheme="minorHAnsi"/>
                <w:bCs/>
              </w:rPr>
            </w:pPr>
            <w:r w:rsidRPr="006D5E92">
              <w:rPr>
                <w:rFonts w:asciiTheme="minorHAnsi" w:hAnsiTheme="minorHAnsi"/>
                <w:bCs/>
              </w:rPr>
              <w:t>$10,000</w:t>
            </w:r>
          </w:p>
        </w:tc>
      </w:tr>
      <w:tr w:rsidR="00CC2AC0" w:rsidTr="00A00691">
        <w:trPr>
          <w:trHeight w:val="1992"/>
        </w:trPr>
        <w:tc>
          <w:tcPr>
            <w:tcW w:w="10065" w:type="dxa"/>
            <w:gridSpan w:val="7"/>
            <w:vAlign w:val="center"/>
          </w:tcPr>
          <w:p w:rsidR="00CC2AC0" w:rsidRPr="001F5B9C" w:rsidRDefault="00CC2AC0" w:rsidP="00A00691">
            <w:pPr>
              <w:spacing w:after="0" w:line="240" w:lineRule="auto"/>
              <w:ind w:left="3" w:right="3" w:firstLine="0"/>
              <w:rPr>
                <w:rFonts w:asciiTheme="minorHAnsi" w:hAnsiTheme="minorHAnsi"/>
                <w:b/>
                <w:bCs/>
              </w:rPr>
            </w:pPr>
            <w:r w:rsidRPr="001F5B9C">
              <w:rPr>
                <w:rFonts w:asciiTheme="minorHAnsi" w:hAnsiTheme="minorHAnsi"/>
              </w:rPr>
              <w:t>The</w:t>
            </w:r>
            <w:r w:rsidRPr="001F5B9C">
              <w:rPr>
                <w:rFonts w:asciiTheme="minorHAnsi" w:hAnsiTheme="minorHAnsi"/>
                <w:b/>
              </w:rPr>
              <w:t xml:space="preserve"> Youth Mentoring Program</w:t>
            </w:r>
            <w:r w:rsidRPr="001F5B9C">
              <w:rPr>
                <w:rFonts w:asciiTheme="minorHAnsi" w:hAnsiTheme="minorHAnsi"/>
              </w:rPr>
              <w:t xml:space="preserve"> was </w:t>
            </w:r>
            <w:r w:rsidRPr="001F5B9C">
              <w:rPr>
                <w:bCs/>
              </w:rPr>
              <w:t xml:space="preserve">developed in 2015 to fill gaps in service/support among youth referred to the Community Service Order Program and Restorative Justice Program. The program will match participants with mentors who will increase meaningful volunteerism, enhance employment opportunities, and help youth realize educational goals. Mentors will be trained in mental health, suicide prevention, addiction, and risk factors associated with criminality in order to ethically and appropriately support participants. The program will run </w:t>
            </w:r>
            <w:r w:rsidRPr="001F5B9C">
              <w:rPr>
                <w:rFonts w:asciiTheme="minorHAnsi" w:hAnsiTheme="minorHAnsi"/>
                <w:bCs/>
              </w:rPr>
              <w:t xml:space="preserve">July 1, 2019 – June 30, 2020 for up to 50 youth aged 12-19. </w:t>
            </w:r>
          </w:p>
        </w:tc>
      </w:tr>
      <w:tr w:rsidR="00CC2AC0" w:rsidTr="00A00691">
        <w:trPr>
          <w:trHeight w:val="610"/>
        </w:trPr>
        <w:tc>
          <w:tcPr>
            <w:tcW w:w="4536" w:type="dxa"/>
            <w:shd w:val="clear" w:color="auto" w:fill="DEEAF6" w:themeFill="accent1" w:themeFillTint="33"/>
            <w:vAlign w:val="center"/>
          </w:tcPr>
          <w:p w:rsidR="00CC2AC0" w:rsidRPr="00434DBD" w:rsidRDefault="00CC2AC0" w:rsidP="00A00691">
            <w:pPr>
              <w:spacing w:after="0" w:line="240" w:lineRule="auto"/>
              <w:ind w:left="0" w:firstLine="0"/>
              <w:rPr>
                <w:rFonts w:asciiTheme="minorHAnsi" w:hAnsiTheme="minorHAnsi"/>
                <w:bCs/>
                <w:color w:val="auto"/>
              </w:rPr>
            </w:pPr>
            <w:proofErr w:type="spellStart"/>
            <w:r>
              <w:rPr>
                <w:rFonts w:asciiTheme="minorHAnsi" w:hAnsiTheme="minorHAnsi"/>
                <w:bCs/>
                <w:color w:val="auto"/>
              </w:rPr>
              <w:t>Raincoast</w:t>
            </w:r>
            <w:proofErr w:type="spellEnd"/>
            <w:r>
              <w:rPr>
                <w:rFonts w:asciiTheme="minorHAnsi" w:hAnsiTheme="minorHAnsi"/>
                <w:bCs/>
                <w:color w:val="auto"/>
              </w:rPr>
              <w:t xml:space="preserve"> Conservation Foundation</w:t>
            </w:r>
          </w:p>
        </w:tc>
        <w:tc>
          <w:tcPr>
            <w:tcW w:w="3544" w:type="dxa"/>
            <w:gridSpan w:val="3"/>
            <w:shd w:val="clear" w:color="auto" w:fill="DEEAF6" w:themeFill="accent1" w:themeFillTint="33"/>
            <w:vAlign w:val="center"/>
          </w:tcPr>
          <w:p w:rsidR="00CC2AC0" w:rsidRPr="00434DBD" w:rsidRDefault="00CC2AC0" w:rsidP="00A00691">
            <w:pPr>
              <w:spacing w:after="0" w:line="240" w:lineRule="auto"/>
              <w:ind w:left="0" w:firstLine="0"/>
              <w:jc w:val="right"/>
              <w:rPr>
                <w:rFonts w:asciiTheme="minorHAnsi" w:hAnsiTheme="minorHAnsi"/>
                <w:bCs/>
                <w:color w:val="auto"/>
              </w:rPr>
            </w:pPr>
            <w:proofErr w:type="spellStart"/>
            <w:r>
              <w:rPr>
                <w:rFonts w:asciiTheme="minorHAnsi" w:hAnsiTheme="minorHAnsi"/>
                <w:bCs/>
                <w:color w:val="auto"/>
              </w:rPr>
              <w:t>Saanich</w:t>
            </w:r>
            <w:proofErr w:type="spellEnd"/>
            <w:r>
              <w:rPr>
                <w:rFonts w:asciiTheme="minorHAnsi" w:hAnsiTheme="minorHAnsi"/>
                <w:bCs/>
                <w:color w:val="auto"/>
              </w:rPr>
              <w:t xml:space="preserve"> Peninsula, Cowichan District</w:t>
            </w:r>
          </w:p>
        </w:tc>
        <w:tc>
          <w:tcPr>
            <w:tcW w:w="1985" w:type="dxa"/>
            <w:gridSpan w:val="3"/>
            <w:shd w:val="clear" w:color="auto" w:fill="DEEAF6" w:themeFill="accent1" w:themeFillTint="33"/>
            <w:vAlign w:val="center"/>
          </w:tcPr>
          <w:p w:rsidR="00CC2AC0" w:rsidRPr="004A2F6F" w:rsidRDefault="00CC2AC0" w:rsidP="00A00691">
            <w:pPr>
              <w:spacing w:after="0" w:line="240" w:lineRule="auto"/>
              <w:ind w:left="0" w:firstLine="0"/>
              <w:jc w:val="right"/>
              <w:rPr>
                <w:rFonts w:asciiTheme="minorHAnsi" w:hAnsiTheme="minorHAnsi"/>
                <w:bCs/>
                <w:color w:val="auto"/>
              </w:rPr>
            </w:pPr>
            <w:r>
              <w:rPr>
                <w:rFonts w:asciiTheme="minorHAnsi" w:hAnsiTheme="minorHAnsi"/>
                <w:bCs/>
                <w:color w:val="auto"/>
              </w:rPr>
              <w:t xml:space="preserve">$6,500 </w:t>
            </w:r>
          </w:p>
        </w:tc>
      </w:tr>
      <w:tr w:rsidR="00CC2AC0" w:rsidRPr="00640590" w:rsidTr="00A00691">
        <w:trPr>
          <w:trHeight w:val="1646"/>
        </w:trPr>
        <w:tc>
          <w:tcPr>
            <w:tcW w:w="10065" w:type="dxa"/>
            <w:gridSpan w:val="7"/>
            <w:vAlign w:val="center"/>
          </w:tcPr>
          <w:p w:rsidR="00CC2AC0" w:rsidRPr="00640590" w:rsidRDefault="00CC2AC0" w:rsidP="00A00691">
            <w:pPr>
              <w:spacing w:after="0" w:line="241" w:lineRule="auto"/>
              <w:ind w:left="0" w:firstLine="0"/>
              <w:rPr>
                <w:rFonts w:asciiTheme="minorHAnsi" w:hAnsiTheme="minorHAnsi"/>
                <w:b/>
                <w:bCs/>
                <w:color w:val="FFFF00"/>
              </w:rPr>
            </w:pPr>
            <w:r>
              <w:t xml:space="preserve">The </w:t>
            </w:r>
            <w:r w:rsidRPr="004A42D1">
              <w:rPr>
                <w:b/>
              </w:rPr>
              <w:t>Salish Sea Emerging Stewards Leadership</w:t>
            </w:r>
            <w:r>
              <w:t xml:space="preserve"> training program allows </w:t>
            </w:r>
            <w:r w:rsidRPr="00640590">
              <w:t xml:space="preserve">youth to turn their knowledge into action. The program will engage up to 50 First </w:t>
            </w:r>
            <w:r>
              <w:t xml:space="preserve">Nations and marginalized youth, ages 11-19 </w:t>
            </w:r>
            <w:r w:rsidRPr="00640590">
              <w:t>from underserved commun</w:t>
            </w:r>
            <w:r>
              <w:t xml:space="preserve">ities from Vancouver and Vancouver Island.  Over eight sessions (September 2019-May 2020), youth will develop community projects, gaining leadership skills, shared learning, and become ambassadors of environmental stewardship. </w:t>
            </w:r>
            <w:r w:rsidRPr="00640590">
              <w:t xml:space="preserve">  </w:t>
            </w:r>
          </w:p>
        </w:tc>
      </w:tr>
      <w:tr w:rsidR="00CC2AC0" w:rsidTr="00A00691">
        <w:trPr>
          <w:trHeight w:val="569"/>
        </w:trPr>
        <w:tc>
          <w:tcPr>
            <w:tcW w:w="4536" w:type="dxa"/>
            <w:shd w:val="clear" w:color="auto" w:fill="DEEAF6" w:themeFill="accent1" w:themeFillTint="33"/>
            <w:vAlign w:val="center"/>
          </w:tcPr>
          <w:p w:rsidR="00CC2AC0" w:rsidRPr="006D5E92" w:rsidRDefault="00CC2AC0" w:rsidP="00A00691">
            <w:pPr>
              <w:spacing w:after="0" w:line="240" w:lineRule="auto"/>
              <w:ind w:left="0" w:firstLine="0"/>
              <w:rPr>
                <w:rFonts w:asciiTheme="minorHAnsi" w:hAnsiTheme="minorHAnsi"/>
                <w:bCs/>
              </w:rPr>
            </w:pPr>
            <w:r w:rsidRPr="006D5E92">
              <w:rPr>
                <w:rFonts w:asciiTheme="minorHAnsi" w:hAnsiTheme="minorHAnsi"/>
              </w:rPr>
              <w:t>Pacific Centre Family Services Association</w:t>
            </w:r>
          </w:p>
        </w:tc>
        <w:tc>
          <w:tcPr>
            <w:tcW w:w="3544"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rPr>
              <w:t>Victoria West Shore Communities</w:t>
            </w:r>
          </w:p>
        </w:tc>
        <w:tc>
          <w:tcPr>
            <w:tcW w:w="1985" w:type="dxa"/>
            <w:gridSpan w:val="3"/>
            <w:shd w:val="clear" w:color="auto" w:fill="DEEAF6" w:themeFill="accent1" w:themeFillTint="33"/>
            <w:vAlign w:val="center"/>
          </w:tcPr>
          <w:p w:rsidR="00CC2AC0" w:rsidRPr="006D5E92" w:rsidRDefault="00CC2AC0" w:rsidP="00A00691">
            <w:pPr>
              <w:spacing w:after="0" w:line="240" w:lineRule="auto"/>
              <w:ind w:left="1" w:firstLine="0"/>
              <w:jc w:val="right"/>
              <w:rPr>
                <w:rFonts w:asciiTheme="minorHAnsi" w:hAnsiTheme="minorHAnsi"/>
              </w:rPr>
            </w:pPr>
            <w:r w:rsidRPr="006D5E92">
              <w:rPr>
                <w:rFonts w:asciiTheme="minorHAnsi" w:hAnsiTheme="minorHAnsi"/>
              </w:rPr>
              <w:t>$10,000</w:t>
            </w:r>
          </w:p>
        </w:tc>
      </w:tr>
      <w:tr w:rsidR="00CC2AC0" w:rsidTr="00A00691">
        <w:trPr>
          <w:trHeight w:val="1327"/>
        </w:trPr>
        <w:tc>
          <w:tcPr>
            <w:tcW w:w="10065" w:type="dxa"/>
            <w:gridSpan w:val="7"/>
            <w:vAlign w:val="center"/>
          </w:tcPr>
          <w:p w:rsidR="00CC2AC0" w:rsidRPr="00DA4549" w:rsidRDefault="00CC2AC0" w:rsidP="00A00691">
            <w:pPr>
              <w:spacing w:after="0" w:line="240" w:lineRule="auto"/>
              <w:ind w:left="0" w:firstLine="0"/>
              <w:rPr>
                <w:rFonts w:asciiTheme="minorHAnsi" w:hAnsiTheme="minorHAnsi"/>
                <w:b/>
                <w:bCs/>
              </w:rPr>
            </w:pPr>
            <w:r>
              <w:rPr>
                <w:rFonts w:asciiTheme="minorHAnsi" w:hAnsiTheme="minorHAnsi"/>
              </w:rPr>
              <w:t xml:space="preserve">The </w:t>
            </w:r>
            <w:r w:rsidRPr="00DA4549">
              <w:rPr>
                <w:rFonts w:asciiTheme="minorHAnsi" w:hAnsiTheme="minorHAnsi"/>
                <w:b/>
              </w:rPr>
              <w:t>Seniors Transportation Support Service</w:t>
            </w:r>
            <w:r>
              <w:rPr>
                <w:rFonts w:asciiTheme="minorHAnsi" w:hAnsiTheme="minorHAnsi"/>
              </w:rPr>
              <w:t xml:space="preserve"> provides </w:t>
            </w:r>
            <w:r w:rsidRPr="00DA4549">
              <w:rPr>
                <w:rFonts w:asciiTheme="minorHAnsi" w:hAnsiTheme="minorHAnsi"/>
                <w:bCs/>
              </w:rPr>
              <w:t>low cost drives to medi</w:t>
            </w:r>
            <w:r>
              <w:rPr>
                <w:rFonts w:asciiTheme="minorHAnsi" w:hAnsiTheme="minorHAnsi"/>
                <w:bCs/>
              </w:rPr>
              <w:t xml:space="preserve">cal appointments, social visits and/or </w:t>
            </w:r>
            <w:r w:rsidRPr="00DA4549">
              <w:rPr>
                <w:rFonts w:asciiTheme="minorHAnsi" w:hAnsiTheme="minorHAnsi"/>
                <w:bCs/>
              </w:rPr>
              <w:t>grocery shopping</w:t>
            </w:r>
            <w:r>
              <w:rPr>
                <w:rFonts w:asciiTheme="minorHAnsi" w:hAnsiTheme="minorHAnsi"/>
                <w:bCs/>
              </w:rPr>
              <w:t xml:space="preserve">. This </w:t>
            </w:r>
            <w:r w:rsidRPr="00DA4549">
              <w:rPr>
                <w:rFonts w:asciiTheme="minorHAnsi" w:hAnsiTheme="minorHAnsi"/>
                <w:bCs/>
              </w:rPr>
              <w:t>outreach service combat</w:t>
            </w:r>
            <w:r>
              <w:rPr>
                <w:rFonts w:asciiTheme="minorHAnsi" w:hAnsiTheme="minorHAnsi"/>
                <w:bCs/>
              </w:rPr>
              <w:t>s</w:t>
            </w:r>
            <w:r w:rsidRPr="00DA4549">
              <w:rPr>
                <w:rFonts w:asciiTheme="minorHAnsi" w:hAnsiTheme="minorHAnsi"/>
                <w:bCs/>
              </w:rPr>
              <w:t xml:space="preserve"> isolation, promote seniors’ resilience and extend</w:t>
            </w:r>
            <w:r>
              <w:rPr>
                <w:rFonts w:asciiTheme="minorHAnsi" w:hAnsiTheme="minorHAnsi"/>
                <w:bCs/>
              </w:rPr>
              <w:t>s</w:t>
            </w:r>
            <w:r w:rsidRPr="00DA4549">
              <w:rPr>
                <w:rFonts w:asciiTheme="minorHAnsi" w:hAnsiTheme="minorHAnsi"/>
                <w:bCs/>
              </w:rPr>
              <w:t xml:space="preserve"> seniors’ ability to age in place. Funding will provide 44 weeks of start-up funding, after which the program will become self-sustaining</w:t>
            </w:r>
            <w:r w:rsidRPr="00DA4549">
              <w:rPr>
                <w:rFonts w:asciiTheme="minorHAnsi" w:hAnsiTheme="minorHAnsi"/>
              </w:rPr>
              <w:t>.</w:t>
            </w:r>
          </w:p>
        </w:tc>
      </w:tr>
      <w:tr w:rsidR="00CC2AC0" w:rsidTr="00A00691">
        <w:trPr>
          <w:trHeight w:val="563"/>
        </w:trPr>
        <w:tc>
          <w:tcPr>
            <w:tcW w:w="4536" w:type="dxa"/>
            <w:shd w:val="clear" w:color="auto" w:fill="DEEAF6" w:themeFill="accent1" w:themeFillTint="33"/>
            <w:vAlign w:val="center"/>
          </w:tcPr>
          <w:p w:rsidR="00CC2AC0" w:rsidRPr="006D5E92" w:rsidRDefault="00CC2AC0" w:rsidP="00A00691">
            <w:pPr>
              <w:spacing w:after="0" w:line="240" w:lineRule="auto"/>
              <w:ind w:left="0" w:firstLine="0"/>
              <w:rPr>
                <w:rFonts w:asciiTheme="minorHAnsi" w:hAnsiTheme="minorHAnsi"/>
                <w:bCs/>
              </w:rPr>
            </w:pPr>
            <w:r w:rsidRPr="006D5E92">
              <w:rPr>
                <w:rFonts w:asciiTheme="minorHAnsi" w:hAnsiTheme="minorHAnsi"/>
              </w:rPr>
              <w:t>Pacifica Housing Advisory Association</w:t>
            </w:r>
          </w:p>
        </w:tc>
        <w:tc>
          <w:tcPr>
            <w:tcW w:w="3544"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Nanaimo, Duncan</w:t>
            </w:r>
          </w:p>
        </w:tc>
        <w:tc>
          <w:tcPr>
            <w:tcW w:w="1985"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$10,000</w:t>
            </w:r>
          </w:p>
        </w:tc>
      </w:tr>
      <w:tr w:rsidR="00CC2AC0" w:rsidTr="00A00691">
        <w:trPr>
          <w:trHeight w:val="1836"/>
        </w:trPr>
        <w:tc>
          <w:tcPr>
            <w:tcW w:w="10065" w:type="dxa"/>
            <w:gridSpan w:val="7"/>
            <w:vAlign w:val="center"/>
          </w:tcPr>
          <w:p w:rsidR="00CC2AC0" w:rsidRPr="00816DEA" w:rsidRDefault="00CC2AC0" w:rsidP="00A00691">
            <w:pPr>
              <w:spacing w:after="0" w:line="240" w:lineRule="auto"/>
              <w:ind w:left="0" w:firstLine="0"/>
              <w:rPr>
                <w:rFonts w:asciiTheme="minorHAnsi" w:hAnsiTheme="minorHAnsi"/>
                <w:b/>
                <w:bCs/>
              </w:rPr>
            </w:pPr>
            <w:r>
              <w:rPr>
                <w:rFonts w:asciiTheme="minorHAnsi" w:hAnsiTheme="minorHAnsi"/>
              </w:rPr>
              <w:lastRenderedPageBreak/>
              <w:t xml:space="preserve">Expanding the </w:t>
            </w:r>
            <w:r w:rsidRPr="00816DEA">
              <w:rPr>
                <w:rFonts w:asciiTheme="minorHAnsi" w:hAnsiTheme="minorHAnsi"/>
                <w:b/>
              </w:rPr>
              <w:t>Community Volunteer Program</w:t>
            </w:r>
            <w:r>
              <w:rPr>
                <w:rFonts w:asciiTheme="minorHAnsi" w:hAnsiTheme="minorHAnsi"/>
              </w:rPr>
              <w:t xml:space="preserve"> to</w:t>
            </w:r>
            <w:r w:rsidRPr="00816DEA">
              <w:rPr>
                <w:rFonts w:asciiTheme="minorHAnsi" w:hAnsiTheme="minorHAnsi"/>
              </w:rPr>
              <w:t xml:space="preserve"> include 40 more participants</w:t>
            </w:r>
            <w:r>
              <w:rPr>
                <w:rFonts w:asciiTheme="minorHAnsi" w:hAnsiTheme="minorHAnsi"/>
              </w:rPr>
              <w:t xml:space="preserve"> (bringing total group to almost 80 individuals)—the program</w:t>
            </w:r>
            <w:r w:rsidRPr="00816DEA">
              <w:rPr>
                <w:rFonts w:asciiTheme="minorHAnsi" w:hAnsiTheme="minorHAnsi"/>
              </w:rPr>
              <w:t xml:space="preserve"> </w:t>
            </w:r>
            <w:r w:rsidRPr="00816DEA">
              <w:t xml:space="preserve">assists persons who were at one time either homeless or at risk of homelessness and </w:t>
            </w:r>
            <w:r>
              <w:t xml:space="preserve">who </w:t>
            </w:r>
            <w:r w:rsidRPr="00816DEA">
              <w:t xml:space="preserve">face multiple barriers to accessing housing in the private market, a chance to gain skills and work towards securing future employment or greater social integration.  The program </w:t>
            </w:r>
            <w:r w:rsidRPr="00816DEA">
              <w:rPr>
                <w:rFonts w:asciiTheme="minorHAnsi" w:hAnsiTheme="minorHAnsi"/>
              </w:rPr>
              <w:t>fosters a sense of pride in home and surroundings, encourages social interaction, and develops and strengthens life skills for those who have experienced homelessness and/or housing insecurity.</w:t>
            </w:r>
          </w:p>
        </w:tc>
      </w:tr>
      <w:tr w:rsidR="00CC2AC0" w:rsidTr="00A00691">
        <w:trPr>
          <w:trHeight w:val="452"/>
        </w:trPr>
        <w:tc>
          <w:tcPr>
            <w:tcW w:w="4536" w:type="dxa"/>
            <w:shd w:val="clear" w:color="auto" w:fill="DEEAF6" w:themeFill="accent1" w:themeFillTint="33"/>
            <w:vAlign w:val="center"/>
          </w:tcPr>
          <w:p w:rsidR="00CC2AC0" w:rsidRPr="006D5E92" w:rsidRDefault="00CC2AC0" w:rsidP="00A00691">
            <w:pPr>
              <w:spacing w:after="0" w:line="240" w:lineRule="auto"/>
              <w:ind w:left="0" w:firstLine="0"/>
              <w:rPr>
                <w:rFonts w:asciiTheme="minorHAnsi" w:hAnsiTheme="minorHAnsi"/>
                <w:bCs/>
              </w:rPr>
            </w:pPr>
            <w:r w:rsidRPr="006D5E92">
              <w:rPr>
                <w:rFonts w:asciiTheme="minorHAnsi" w:hAnsiTheme="minorHAnsi"/>
              </w:rPr>
              <w:t>The Men’s Centre</w:t>
            </w:r>
          </w:p>
        </w:tc>
        <w:tc>
          <w:tcPr>
            <w:tcW w:w="3544"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Salt Spring Island</w:t>
            </w:r>
          </w:p>
        </w:tc>
        <w:tc>
          <w:tcPr>
            <w:tcW w:w="1985" w:type="dxa"/>
            <w:gridSpan w:val="3"/>
            <w:shd w:val="clear" w:color="auto" w:fill="DEEAF6" w:themeFill="accent1" w:themeFillTint="33"/>
            <w:vAlign w:val="center"/>
          </w:tcPr>
          <w:p w:rsidR="00CC2AC0" w:rsidRPr="006D5E92" w:rsidRDefault="00CC2AC0" w:rsidP="00A00691">
            <w:pPr>
              <w:spacing w:after="0" w:line="240" w:lineRule="auto"/>
              <w:ind w:left="0" w:firstLine="0"/>
              <w:jc w:val="right"/>
              <w:rPr>
                <w:rFonts w:asciiTheme="minorHAnsi" w:hAnsiTheme="minorHAnsi"/>
                <w:bCs/>
              </w:rPr>
            </w:pPr>
            <w:r w:rsidRPr="006D5E92">
              <w:rPr>
                <w:rFonts w:asciiTheme="minorHAnsi" w:hAnsiTheme="minorHAnsi"/>
                <w:bCs/>
              </w:rPr>
              <w:t>$5,837</w:t>
            </w:r>
          </w:p>
        </w:tc>
      </w:tr>
      <w:tr w:rsidR="00CC2AC0" w:rsidTr="00A00691">
        <w:trPr>
          <w:trHeight w:val="2507"/>
        </w:trPr>
        <w:tc>
          <w:tcPr>
            <w:tcW w:w="10065" w:type="dxa"/>
            <w:gridSpan w:val="7"/>
            <w:vAlign w:val="center"/>
          </w:tcPr>
          <w:p w:rsidR="00CC2AC0" w:rsidRPr="0013426B" w:rsidRDefault="00CC2AC0" w:rsidP="00A00691">
            <w:pPr>
              <w:spacing w:after="0" w:line="240" w:lineRule="auto"/>
              <w:ind w:left="2" w:firstLine="0"/>
              <w:rPr>
                <w:rFonts w:asciiTheme="minorHAnsi" w:hAnsiTheme="minorHAnsi"/>
                <w:b/>
                <w:bCs/>
              </w:rPr>
            </w:pPr>
            <w:r w:rsidRPr="0013426B">
              <w:rPr>
                <w:rFonts w:asciiTheme="minorHAnsi" w:hAnsiTheme="minorHAnsi"/>
                <w:b/>
              </w:rPr>
              <w:t>Dad’s Soup</w:t>
            </w:r>
            <w:r w:rsidRPr="0013426B">
              <w:rPr>
                <w:rFonts w:asciiTheme="minorHAnsi" w:hAnsiTheme="minorHAnsi"/>
              </w:rPr>
              <w:t xml:space="preserve"> is a series of six workshops for lower income fathers where they </w:t>
            </w:r>
            <w:r w:rsidRPr="0013426B">
              <w:t xml:space="preserve">learn how easy it is for Dad to prepare a delicious healthy meal for his family. In addition to the discussions, fathers learn that girls raised with involved, nurturing fathers display a greater sense of competency. </w:t>
            </w:r>
            <w:r>
              <w:t>B</w:t>
            </w:r>
            <w:r w:rsidRPr="0013426B">
              <w:t>oys raised with involved fathers are far less likely to be excessively aggressive, violent, or exhibit anti-social behaviors</w:t>
            </w:r>
            <w:r>
              <w:t>.  A</w:t>
            </w:r>
            <w:r w:rsidRPr="0013426B">
              <w:t xml:space="preserve">ll participants </w:t>
            </w:r>
            <w:r>
              <w:t xml:space="preserve">are </w:t>
            </w:r>
            <w:r w:rsidRPr="0013426B">
              <w:t xml:space="preserve">able to receive fathering support after the course has completed from counselors they are already familiar with. </w:t>
            </w:r>
            <w:r>
              <w:t>A f</w:t>
            </w:r>
            <w:r w:rsidRPr="0013426B">
              <w:t>ood/meal component is a part of</w:t>
            </w:r>
            <w:r>
              <w:t xml:space="preserve"> sharing the bond of fatherhood—the </w:t>
            </w:r>
            <w:r w:rsidRPr="0013426B">
              <w:t>primary focus is being a happy, healthy,</w:t>
            </w:r>
            <w:r>
              <w:t xml:space="preserve"> involved and supportive father</w:t>
            </w:r>
            <w:r w:rsidRPr="0013426B">
              <w:t>. The participants get to keep the materials and food that is prepared during the course as it directly benefit</w:t>
            </w:r>
            <w:r>
              <w:t>s</w:t>
            </w:r>
            <w:r w:rsidRPr="0013426B">
              <w:t xml:space="preserve"> their families. </w:t>
            </w:r>
          </w:p>
        </w:tc>
      </w:tr>
      <w:tr w:rsidR="00CC2AC0" w:rsidTr="00A00691">
        <w:trPr>
          <w:trHeight w:val="519"/>
        </w:trPr>
        <w:tc>
          <w:tcPr>
            <w:tcW w:w="8080" w:type="dxa"/>
            <w:gridSpan w:val="4"/>
            <w:shd w:val="clear" w:color="auto" w:fill="D9E2F3" w:themeFill="accent5" w:themeFillTint="33"/>
            <w:vAlign w:val="center"/>
          </w:tcPr>
          <w:p w:rsidR="00CC2AC0" w:rsidRPr="00B10257" w:rsidRDefault="00CC2AC0" w:rsidP="00A00691">
            <w:pPr>
              <w:spacing w:after="0" w:line="240" w:lineRule="auto"/>
              <w:ind w:left="2" w:firstLine="0"/>
              <w:jc w:val="right"/>
              <w:rPr>
                <w:rFonts w:asciiTheme="minorHAnsi" w:hAnsiTheme="minorHAnsi"/>
                <w:b/>
                <w:sz w:val="28"/>
              </w:rPr>
            </w:pPr>
            <w:r w:rsidRPr="00B10257">
              <w:rPr>
                <w:rFonts w:asciiTheme="minorHAnsi" w:hAnsiTheme="minorHAnsi"/>
                <w:b/>
                <w:sz w:val="28"/>
              </w:rPr>
              <w:t>TOTAL</w:t>
            </w:r>
          </w:p>
        </w:tc>
        <w:tc>
          <w:tcPr>
            <w:tcW w:w="1985" w:type="dxa"/>
            <w:gridSpan w:val="3"/>
            <w:shd w:val="clear" w:color="auto" w:fill="D9E2F3" w:themeFill="accent5" w:themeFillTint="33"/>
            <w:vAlign w:val="center"/>
          </w:tcPr>
          <w:p w:rsidR="00CC2AC0" w:rsidRPr="00B10257" w:rsidRDefault="00CC2AC0" w:rsidP="00A00691">
            <w:pPr>
              <w:spacing w:after="0" w:line="240" w:lineRule="auto"/>
              <w:ind w:left="2" w:firstLine="0"/>
              <w:jc w:val="right"/>
              <w:rPr>
                <w:rFonts w:asciiTheme="minorHAnsi" w:hAnsiTheme="minorHAnsi"/>
                <w:b/>
                <w:sz w:val="28"/>
              </w:rPr>
            </w:pPr>
            <w:r w:rsidRPr="00B10257">
              <w:rPr>
                <w:rFonts w:asciiTheme="minorHAnsi" w:hAnsiTheme="minorHAnsi"/>
                <w:b/>
                <w:sz w:val="28"/>
              </w:rPr>
              <w:t>$93,637</w:t>
            </w:r>
          </w:p>
        </w:tc>
      </w:tr>
    </w:tbl>
    <w:p w:rsidR="00CC2AC0" w:rsidRDefault="00CC2AC0" w:rsidP="00CC2AC0"/>
    <w:p w:rsidR="00CC2AC0" w:rsidRDefault="00CC2AC0"/>
    <w:sectPr w:rsidR="00CC2AC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C0" w:rsidRDefault="00CC2AC0" w:rsidP="00CC2AC0">
      <w:pPr>
        <w:spacing w:after="0" w:line="240" w:lineRule="auto"/>
      </w:pPr>
      <w:r>
        <w:separator/>
      </w:r>
    </w:p>
  </w:endnote>
  <w:endnote w:type="continuationSeparator" w:id="0">
    <w:p w:rsidR="00CC2AC0" w:rsidRDefault="00CC2AC0" w:rsidP="00CC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C0" w:rsidRDefault="00CC2AC0">
    <w:pPr>
      <w:pStyle w:val="Footer"/>
    </w:pPr>
    <w:r>
      <w:t>First West Foundation 2019 Grants – Island Savings Community Endowment</w:t>
    </w:r>
  </w:p>
  <w:p w:rsidR="00CC2AC0" w:rsidRDefault="00CC2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C0" w:rsidRDefault="00CC2AC0" w:rsidP="00CC2AC0">
      <w:pPr>
        <w:spacing w:after="0" w:line="240" w:lineRule="auto"/>
      </w:pPr>
      <w:r>
        <w:separator/>
      </w:r>
    </w:p>
  </w:footnote>
  <w:footnote w:type="continuationSeparator" w:id="0">
    <w:p w:rsidR="00CC2AC0" w:rsidRDefault="00CC2AC0" w:rsidP="00CC2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C0"/>
    <w:rsid w:val="001177C3"/>
    <w:rsid w:val="00CC2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ADFA4-112C-4C78-BCD9-6D38E782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C0"/>
    <w:pPr>
      <w:spacing w:after="5" w:line="249" w:lineRule="auto"/>
      <w:ind w:left="10" w:hanging="1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C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C0"/>
    <w:rPr>
      <w:rFonts w:ascii="Calibri" w:eastAsia="Calibri" w:hAnsi="Calibri" w:cs="Calibri"/>
      <w:color w:val="000000"/>
      <w:lang w:val="en-US"/>
    </w:rPr>
  </w:style>
  <w:style w:type="paragraph" w:styleId="Footer">
    <w:name w:val="footer"/>
    <w:basedOn w:val="Normal"/>
    <w:link w:val="FooterChar"/>
    <w:uiPriority w:val="99"/>
    <w:unhideWhenUsed/>
    <w:rsid w:val="00CC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C0"/>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1</cp:revision>
  <dcterms:created xsi:type="dcterms:W3CDTF">2019-06-12T18:31:00Z</dcterms:created>
  <dcterms:modified xsi:type="dcterms:W3CDTF">2019-06-12T18:33:00Z</dcterms:modified>
</cp:coreProperties>
</file>